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76502" w:rsidRDefault="00A76502">
      <w:pPr>
        <w:spacing w:after="0" w:line="260" w:lineRule="exact"/>
        <w:ind w:left="8203"/>
        <w:rPr>
          <w:sz w:val="24"/>
          <w:szCs w:val="24"/>
        </w:rPr>
      </w:pPr>
    </w:p>
    <w:p w:rsidR="00A76502" w:rsidRDefault="00A76502">
      <w:pPr>
        <w:spacing w:after="0" w:line="260" w:lineRule="exact"/>
        <w:ind w:left="8203"/>
        <w:rPr>
          <w:sz w:val="24"/>
          <w:szCs w:val="24"/>
        </w:rPr>
      </w:pPr>
    </w:p>
    <w:p w:rsidR="00A76502" w:rsidRDefault="00A76502">
      <w:pPr>
        <w:spacing w:after="0" w:line="260" w:lineRule="exact"/>
        <w:ind w:left="8203"/>
        <w:rPr>
          <w:sz w:val="24"/>
          <w:szCs w:val="24"/>
        </w:rPr>
      </w:pPr>
    </w:p>
    <w:p w:rsidR="00A76502" w:rsidRDefault="00A76502">
      <w:pPr>
        <w:spacing w:after="0" w:line="260" w:lineRule="exact"/>
        <w:ind w:left="8203"/>
        <w:rPr>
          <w:sz w:val="24"/>
          <w:szCs w:val="24"/>
        </w:rPr>
      </w:pPr>
    </w:p>
    <w:p w:rsidR="00A76502" w:rsidRDefault="00A76502">
      <w:pPr>
        <w:spacing w:after="0" w:line="260" w:lineRule="exact"/>
        <w:ind w:left="8203"/>
        <w:rPr>
          <w:sz w:val="24"/>
          <w:szCs w:val="24"/>
        </w:rPr>
      </w:pPr>
    </w:p>
    <w:p w:rsidR="00A76502" w:rsidRDefault="00F26290">
      <w:pPr>
        <w:tabs>
          <w:tab w:val="left" w:pos="8692"/>
        </w:tabs>
        <w:spacing w:before="166" w:after="0" w:line="260" w:lineRule="exact"/>
        <w:ind w:left="8203" w:right="964"/>
      </w:pP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 xml:space="preserve">HIGH REPRESENTATIVE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>OF THE UNION FOR</w:t>
      </w:r>
    </w:p>
    <w:p w:rsidR="00A76502" w:rsidRDefault="00F26290">
      <w:pPr>
        <w:tabs>
          <w:tab w:val="left" w:pos="8284"/>
        </w:tabs>
        <w:spacing w:before="13" w:after="0" w:line="230" w:lineRule="exact"/>
        <w:ind w:left="4752"/>
      </w:pP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>EUROPEAN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>FOREIGN AFFAIRS AND</w:t>
      </w:r>
    </w:p>
    <w:p w:rsidR="00A76502" w:rsidRDefault="00F26290">
      <w:pPr>
        <w:tabs>
          <w:tab w:val="left" w:pos="8817"/>
        </w:tabs>
        <w:spacing w:before="29" w:after="0" w:line="230" w:lineRule="exact"/>
        <w:ind w:left="4752"/>
      </w:pP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>COMMISSION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09"/>
          <w:sz w:val="20"/>
          <w:szCs w:val="20"/>
        </w:rPr>
        <w:t>SECURITY POLICY</w:t>
      </w:r>
    </w:p>
    <w:p w:rsidR="00A76502" w:rsidRDefault="00A76502">
      <w:pPr>
        <w:spacing w:after="0" w:line="260" w:lineRule="exact"/>
        <w:ind w:left="7094"/>
        <w:rPr>
          <w:sz w:val="24"/>
          <w:szCs w:val="24"/>
        </w:rPr>
      </w:pPr>
    </w:p>
    <w:p w:rsidR="00A76502" w:rsidRDefault="00A76502">
      <w:pPr>
        <w:spacing w:after="0" w:line="260" w:lineRule="exact"/>
        <w:ind w:left="7094"/>
        <w:rPr>
          <w:sz w:val="24"/>
          <w:szCs w:val="24"/>
        </w:rPr>
      </w:pPr>
    </w:p>
    <w:p w:rsidR="00A76502" w:rsidRDefault="00A76502">
      <w:pPr>
        <w:spacing w:after="0" w:line="260" w:lineRule="exact"/>
        <w:ind w:left="7094"/>
        <w:rPr>
          <w:sz w:val="24"/>
          <w:szCs w:val="24"/>
        </w:rPr>
      </w:pPr>
    </w:p>
    <w:p w:rsidR="00A76502" w:rsidRDefault="00F26290">
      <w:pPr>
        <w:spacing w:before="219" w:after="0" w:line="260" w:lineRule="exact"/>
        <w:ind w:left="7094" w:right="2788"/>
        <w:jc w:val="both"/>
      </w:pP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>Brussels, 6.2.2020 SWD(2020) 30 final</w:t>
      </w:r>
    </w:p>
    <w:p w:rsidR="00A76502" w:rsidRDefault="00A76502">
      <w:pPr>
        <w:spacing w:after="0" w:line="230" w:lineRule="exact"/>
        <w:ind w:left="4449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4449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4449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4449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4449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4449"/>
        <w:rPr>
          <w:sz w:val="24"/>
          <w:szCs w:val="24"/>
        </w:rPr>
      </w:pPr>
    </w:p>
    <w:p w:rsidR="00A76502" w:rsidRDefault="00F26290">
      <w:pPr>
        <w:spacing w:before="45" w:after="0" w:line="230" w:lineRule="exact"/>
        <w:ind w:left="4449"/>
      </w:pPr>
      <w:r>
        <w:rPr>
          <w:rFonts w:ascii="Times New Roman" w:hAnsi="Times New Roman" w:cs="Times New Roman"/>
          <w:b/>
          <w:color w:val="000000"/>
          <w:w w:val="111"/>
          <w:sz w:val="20"/>
          <w:szCs w:val="20"/>
        </w:rPr>
        <w:t>JOINT STAFF WORKING DOCUMENT</w:t>
      </w:r>
    </w:p>
    <w:p w:rsidR="00A76502" w:rsidRDefault="00A76502">
      <w:pPr>
        <w:spacing w:after="0" w:line="230" w:lineRule="exact"/>
        <w:ind w:left="4204"/>
        <w:rPr>
          <w:sz w:val="24"/>
          <w:szCs w:val="24"/>
        </w:rPr>
      </w:pPr>
    </w:p>
    <w:p w:rsidR="00A76502" w:rsidRDefault="00F26290">
      <w:pPr>
        <w:spacing w:before="160" w:after="0" w:line="230" w:lineRule="exact"/>
        <w:ind w:left="4204"/>
      </w:pPr>
      <w:r>
        <w:rPr>
          <w:rFonts w:ascii="Times New Roman" w:hAnsi="Times New Roman" w:cs="Times New Roman"/>
          <w:b/>
          <w:color w:val="000000"/>
          <w:w w:val="111"/>
          <w:sz w:val="20"/>
          <w:szCs w:val="20"/>
        </w:rPr>
        <w:t>Association Implementation Report on Georgia</w:t>
      </w:r>
    </w:p>
    <w:p w:rsidR="00A76502" w:rsidRDefault="00F2629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9652000</wp:posOffset>
                </wp:positionV>
                <wp:extent cx="1371600" cy="279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502" w:rsidRDefault="00F26290">
                            <w:pPr>
                              <w:spacing w:after="0" w:line="240" w:lineRule="atLeast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7"/>
                                <w:w w:val="129"/>
                                <w:sz w:val="24"/>
                                <w:szCs w:val="24"/>
                              </w:rPr>
                              <w:t>CAI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9pt;margin-top:760pt;width:108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+0swIAALk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" filled="f" stroked="f">
                <v:textbox>
                  <w:txbxContent>
                    <w:p w:rsidR="00A76502" w:rsidRDefault="00F26290">
                      <w:pPr>
                        <w:spacing w:after="0" w:line="240" w:lineRule="atLeast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7"/>
                          <w:w w:val="129"/>
                          <w:sz w:val="24"/>
                          <w:szCs w:val="24"/>
                        </w:rPr>
                        <w:t>CAI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6985000</wp:posOffset>
                </wp:positionH>
                <wp:positionV relativeFrom="page">
                  <wp:posOffset>9664700</wp:posOffset>
                </wp:positionV>
                <wp:extent cx="1308100" cy="266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502" w:rsidRDefault="00F26290">
                            <w:pPr>
                              <w:spacing w:after="0" w:line="220" w:lineRule="atLeas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9"/>
                                <w:w w:val="131"/>
                              </w:rPr>
                              <w:t>CAI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50pt;margin-top:761pt;width:103pt;height:2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28gtQ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" filled="f" stroked="f">
                <v:textbox>
                  <w:txbxContent>
                    <w:p w:rsidR="00A76502" w:rsidRDefault="00F26290">
                      <w:pPr>
                        <w:spacing w:after="0" w:line="220" w:lineRule="atLeast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pacing w:val="9"/>
                          <w:w w:val="131"/>
                        </w:rPr>
                        <w:t>CAI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230" w:lineRule="exact"/>
        <w:ind w:left="2908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2908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2908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2908"/>
        <w:rPr>
          <w:sz w:val="24"/>
          <w:szCs w:val="24"/>
        </w:rPr>
      </w:pPr>
    </w:p>
    <w:p w:rsidR="00A76502" w:rsidRDefault="00A76502">
      <w:pPr>
        <w:spacing w:after="0" w:line="230" w:lineRule="exact"/>
        <w:ind w:left="2908"/>
        <w:rPr>
          <w:sz w:val="24"/>
          <w:szCs w:val="24"/>
        </w:rPr>
      </w:pPr>
    </w:p>
    <w:p w:rsidR="00A76502" w:rsidRDefault="00F26290">
      <w:pPr>
        <w:spacing w:before="20" w:after="0" w:line="230" w:lineRule="exact"/>
        <w:ind w:left="2908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>ASSOCIATION IMPLEMENTATION REPORT — GEORGIA</w:t>
      </w:r>
    </w:p>
    <w:p w:rsidR="00A76502" w:rsidRDefault="00A76502">
      <w:pPr>
        <w:spacing w:after="0" w:line="230" w:lineRule="exact"/>
        <w:ind w:left="1708"/>
        <w:rPr>
          <w:sz w:val="24"/>
          <w:szCs w:val="24"/>
        </w:rPr>
      </w:pPr>
    </w:p>
    <w:p w:rsidR="00A76502" w:rsidRDefault="00F26290">
      <w:pPr>
        <w:tabs>
          <w:tab w:val="left" w:pos="2385"/>
        </w:tabs>
        <w:spacing w:before="41" w:after="0" w:line="230" w:lineRule="exact"/>
        <w:ind w:left="1708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Summary</w:t>
      </w:r>
    </w:p>
    <w:p w:rsidR="00A76502" w:rsidRDefault="00F26290">
      <w:pPr>
        <w:spacing w:before="212" w:after="0" w:line="300" w:lineRule="exact"/>
        <w:ind w:left="1694" w:right="1338" w:firstLine="4"/>
        <w:jc w:val="both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In line with the EU's revised neighbourhood policy, this report sets out the state of play on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Georgia's implementation of its commitments under the EU-Georgia Association Agreement</w:t>
      </w:r>
    </w:p>
    <w:p w:rsidR="00A76502" w:rsidRDefault="00F26290">
      <w:pPr>
        <w:spacing w:before="20" w:after="0" w:line="300" w:lineRule="exact"/>
        <w:ind w:left="1694" w:right="1338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(AA) since the EU-Georgia Association Council meeting on 5 March 2019 and ahead of the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next meeting in 2020. It serves as the basis for a review of the Association Agenda.</w:t>
      </w:r>
    </w:p>
    <w:p w:rsidR="00A76502" w:rsidRDefault="00F26290">
      <w:pPr>
        <w:spacing w:before="192" w:after="0" w:line="310" w:lineRule="exact"/>
        <w:ind w:left="1694" w:right="1333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Georgia's strong commitment to political association and economic integration with the EU remained a priority, supported by 78% of the population'. The EU regards Georgia as a key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partner in the region and continues fully to support its sovereignty and territorial integrity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within its internationally recognised borders. Georgia continues to be fully committed to and actively participates in the Eastern Partnership multilateral architecture.  In the context of the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structured consultations on the future of the Eastern Partnership launched by President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Juncker on the occasion of the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10th anniversary celebrations, Georgia has provided a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contribution outlining their expectations for the future policy framework. A dedicated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consultation event took place in Tbilisi on 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16 and 17 September 2019.</w:t>
      </w:r>
    </w:p>
    <w:p w:rsidR="00A76502" w:rsidRDefault="00F26290">
      <w:pPr>
        <w:spacing w:before="190" w:after="0" w:line="310" w:lineRule="exact"/>
        <w:ind w:left="1699" w:right="1333" w:firstLine="9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Major political activity took place in 2019, with by-elections for one parliamentary seat and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fi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ve mayoral posts, mass public protests since the summer and a busy parliamentary session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in the autumn to adopt key legislation relating to democratic consolidation'.</w:t>
      </w:r>
    </w:p>
    <w:p w:rsidR="00A76502" w:rsidRDefault="00F26290">
      <w:pPr>
        <w:spacing w:before="194" w:after="0" w:line="306" w:lineRule="exact"/>
        <w:ind w:left="1699" w:right="1304"/>
        <w:jc w:val="both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The media landscape changed considerably after a European Court of Human Rights (ECHR)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ruling on the Rustavi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2 TV channel case in July. New media channels were set up and the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Prosecutor's Office launched investigations into cases involving the owners/managers of 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some media outlets.</w:t>
      </w:r>
    </w:p>
    <w:p w:rsidR="00A76502" w:rsidRDefault="00F26290">
      <w:pPr>
        <w:spacing w:before="191" w:after="0" w:line="310" w:lineRule="exact"/>
        <w:ind w:left="1694" w:right="1324" w:firstLine="4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Civil society remained very active in holding public institutions accountable and monitoring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the  implementation  of the  AA,  including  the  Deep  and  Comprehensive  Free Trade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Agreement (DCFTA). Tensions persisted between certain civil society organisations (CSOs) </w:t>
      </w: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and state institutions. The use of force against demonstrators in June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2019  is under </w:t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>investigation.</w:t>
      </w:r>
    </w:p>
    <w:p w:rsidR="00A76502" w:rsidRDefault="00F26290">
      <w:pPr>
        <w:spacing w:before="190" w:after="0" w:line="310" w:lineRule="exact"/>
        <w:ind w:left="1708" w:right="1324"/>
        <w:jc w:val="both"/>
      </w:pP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>A visa-free regime is in place for Georgian citizens to visit Schengen and Schengen-</w:t>
      </w:r>
      <w:r>
        <w:br/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associated countries and almost 900.000 visits have been made by Georgian citizens since its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entry  into  force.  However,  the  numberof asylum  requests  made  by  Georgians  in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EU/Schengen countries remained high in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2019, exceeding the overall number of asylum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requests  in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2018 and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2017,  ranking Georgian nationals amongst the top nationalities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requesting international protection in the EU. Georgia has continued to pro-actively address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the challenge of increased unfounded asylum applications.</w:t>
      </w:r>
    </w:p>
    <w:p w:rsidR="00A76502" w:rsidRDefault="00A76502">
      <w:pPr>
        <w:spacing w:after="0" w:line="184" w:lineRule="exact"/>
        <w:ind w:left="1987"/>
        <w:rPr>
          <w:sz w:val="24"/>
          <w:szCs w:val="24"/>
        </w:rPr>
      </w:pPr>
    </w:p>
    <w:p w:rsidR="00A76502" w:rsidRDefault="00A76502">
      <w:pPr>
        <w:spacing w:after="0" w:line="184" w:lineRule="exact"/>
        <w:ind w:left="1987"/>
        <w:rPr>
          <w:sz w:val="24"/>
          <w:szCs w:val="24"/>
        </w:rPr>
      </w:pPr>
    </w:p>
    <w:p w:rsidR="00A76502" w:rsidRDefault="00A76502">
      <w:pPr>
        <w:spacing w:after="0" w:line="184" w:lineRule="exact"/>
        <w:ind w:left="1987"/>
        <w:rPr>
          <w:sz w:val="24"/>
          <w:szCs w:val="24"/>
        </w:rPr>
      </w:pPr>
    </w:p>
    <w:p w:rsidR="00A76502" w:rsidRDefault="00A76502">
      <w:pPr>
        <w:spacing w:after="0" w:line="184" w:lineRule="exact"/>
        <w:ind w:left="1987"/>
        <w:rPr>
          <w:sz w:val="24"/>
          <w:szCs w:val="24"/>
        </w:rPr>
      </w:pPr>
    </w:p>
    <w:p w:rsidR="00A76502" w:rsidRDefault="00F26290">
      <w:pPr>
        <w:tabs>
          <w:tab w:val="left" w:pos="3552"/>
          <w:tab w:val="left" w:pos="4420"/>
          <w:tab w:val="left" w:pos="5452"/>
        </w:tabs>
        <w:spacing w:before="159" w:after="0" w:line="184" w:lineRule="exact"/>
        <w:ind w:left="1987"/>
      </w:pP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Imps, .r■ IAA\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ich tic  u]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ks.N DI" n20.1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1■"'020 20 19%2Opel 1-1 ssues_ENG_For%20dist ri ['Lai° n _VI ;.pd</w:t>
      </w:r>
    </w:p>
    <w:p w:rsidR="00A76502" w:rsidRDefault="00F26290">
      <w:pPr>
        <w:spacing w:before="7" w:after="0" w:line="220" w:lineRule="exact"/>
        <w:ind w:left="1987" w:right="1351"/>
        <w:jc w:val="both"/>
      </w:pPr>
      <w:r>
        <w:rPr>
          <w:rFonts w:ascii="Times New Roman" w:hAnsi="Times New Roman" w:cs="Times New Roman"/>
          <w:color w:val="000000"/>
          <w:w w:val="124"/>
          <w:sz w:val="16"/>
          <w:szCs w:val="16"/>
        </w:rPr>
        <w:t xml:space="preserve">Appointment of Supreme Court judges. fourth wave of judicial reforms, aborted constitutional reform to </w:t>
      </w:r>
      <w:r>
        <w:rPr>
          <w:rFonts w:ascii="Times New Roman" w:hAnsi="Times New Roman" w:cs="Times New Roman"/>
          <w:color w:val="000000"/>
          <w:w w:val="123"/>
          <w:sz w:val="16"/>
          <w:szCs w:val="16"/>
        </w:rPr>
        <w:t xml:space="preserve">introduce  a   proportional   election  system   in </w:t>
      </w:r>
      <w:r>
        <w:rPr>
          <w:rFonts w:ascii="Times New Roman" w:hAnsi="Times New Roman" w:cs="Times New Roman"/>
          <w:color w:val="000000"/>
          <w:w w:val="121"/>
          <w:sz w:val="16"/>
          <w:szCs w:val="16"/>
        </w:rPr>
        <w:t xml:space="preserve">2020,   electoral   reform   to   address   OSCE/ODIHR </w:t>
      </w:r>
      <w:r>
        <w:rPr>
          <w:rFonts w:ascii="Times New Roman" w:hAnsi="Times New Roman" w:cs="Times New Roman"/>
          <w:color w:val="000000"/>
          <w:w w:val="117"/>
          <w:sz w:val="16"/>
          <w:szCs w:val="16"/>
        </w:rPr>
        <w:t>recommendations.</w:t>
      </w:r>
    </w:p>
    <w:p w:rsidR="00A76502" w:rsidRDefault="00F26290">
      <w:pPr>
        <w:framePr w:w="186" w:wrap="auto" w:vAnchor="page" w:hAnchor="page" w:x="10334" w:y="15150"/>
        <w:spacing w:after="0" w:line="200" w:lineRule="atLeast"/>
      </w:pPr>
      <w:r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10" w:lineRule="exact"/>
        <w:ind w:left="1958"/>
        <w:rPr>
          <w:sz w:val="24"/>
          <w:szCs w:val="24"/>
        </w:rPr>
      </w:pPr>
    </w:p>
    <w:p w:rsidR="00A76502" w:rsidRDefault="00A76502">
      <w:pPr>
        <w:spacing w:after="0" w:line="310" w:lineRule="exact"/>
        <w:ind w:left="1958"/>
        <w:rPr>
          <w:sz w:val="24"/>
          <w:szCs w:val="24"/>
        </w:rPr>
      </w:pPr>
    </w:p>
    <w:p w:rsidR="00A76502" w:rsidRDefault="00A76502">
      <w:pPr>
        <w:spacing w:after="0" w:line="310" w:lineRule="exact"/>
        <w:ind w:left="1958"/>
        <w:rPr>
          <w:sz w:val="24"/>
          <w:szCs w:val="24"/>
        </w:rPr>
      </w:pPr>
    </w:p>
    <w:p w:rsidR="00A76502" w:rsidRPr="00C10B77" w:rsidRDefault="00F26290">
      <w:pPr>
        <w:spacing w:before="234" w:after="0" w:line="310" w:lineRule="exact"/>
        <w:ind w:left="1958" w:right="1050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The macroeconomic outlook remains stable, with some downward risks. The economy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continued to grow (by more than 4.5% year-on-year in the first ten months of 2019) but it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remains  vulnerable  to  domestic  political  risks  and  spill-over  effects  from  external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developments, including growing global trade tensions, the economic performance of key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trade partners (e.g. Turkey) and financial market volatility.</w:t>
      </w:r>
    </w:p>
    <w:p w:rsidR="00A76502" w:rsidRPr="00C10B77" w:rsidRDefault="00F26290">
      <w:pPr>
        <w:spacing w:before="210" w:after="0" w:line="310" w:lineRule="exact"/>
        <w:ind w:left="1958" w:right="1050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Georgia is doing well in international business environment rankings. However, challenges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remain with regard to the independence and accountability of the judiciary. legal certainty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and ongoing investigations involving major businesses (including TBC Bank).</w:t>
      </w:r>
    </w:p>
    <w:p w:rsidR="00A76502" w:rsidRPr="00C10B77" w:rsidRDefault="00F26290">
      <w:pPr>
        <w:spacing w:before="194" w:after="0" w:line="306" w:lineRule="exact"/>
        <w:ind w:left="1968" w:right="1045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In the first ten months of 2019, trade turnover between the EU and Georgia amounted to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EUR 1.3 billion, down by 4% compared for the same period in 2018. EU exports to Georgia remained stable at EUR 1.7 billion (0.7% lower than in the first ten months of 2018) and EU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imports from Georgia fell by 15 % to EUR 475 million.</w:t>
      </w:r>
    </w:p>
    <w:p w:rsidR="00A76502" w:rsidRDefault="00F26290">
      <w:pPr>
        <w:spacing w:before="191" w:after="0" w:line="310" w:lineRule="exact"/>
        <w:ind w:left="1958" w:right="1036" w:firstLine="9"/>
        <w:jc w:val="both"/>
      </w:pP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In January, the European Commission published an indicative trans-European transport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network (TEN-T)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  <w:u w:val="single"/>
        </w:rPr>
        <w:t>investment action plan,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 which identifies 18 priority projects for Georgia for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a total value of EUR 3.4 billion.</w:t>
      </w:r>
    </w:p>
    <w:p w:rsidR="00A76502" w:rsidRDefault="00F26290">
      <w:pPr>
        <w:tabs>
          <w:tab w:val="left" w:pos="6590"/>
        </w:tabs>
        <w:spacing w:before="214" w:after="0" w:line="306" w:lineRule="exact"/>
        <w:ind w:left="1958" w:right="1036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Implementation of the 2018 bilateral allocation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(EUR 134 million) has started. EU support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will continue to focus on AA implementation, including greater participation by Georgia in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Erasmus+ and action on strategic communication.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A new economic governance and fiscal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accountability  programme  will  bring  Georgia  closer  to  the  EU  model  of economic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governance, while a holistic programme on security, accountability and the fight against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crime will strengthen good governance, the rule of law and the security of Georgian citizens.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In addition, the 2019 bilateral allocation (EUR </w:t>
      </w:r>
      <w:r w:rsidRPr="00C10B77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127 million) has been adopted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.</w:t>
      </w:r>
    </w:p>
    <w:p w:rsidR="00A76502" w:rsidRDefault="00A76502">
      <w:pPr>
        <w:spacing w:after="0" w:line="230" w:lineRule="exact"/>
        <w:ind w:left="1958"/>
        <w:rPr>
          <w:sz w:val="24"/>
          <w:szCs w:val="24"/>
        </w:rPr>
      </w:pPr>
    </w:p>
    <w:p w:rsidR="00A76502" w:rsidRDefault="00F26290">
      <w:pPr>
        <w:tabs>
          <w:tab w:val="left" w:pos="2663"/>
        </w:tabs>
        <w:spacing w:before="51" w:after="0" w:line="230" w:lineRule="exact"/>
        <w:ind w:left="1958"/>
      </w:pPr>
      <w:r>
        <w:rPr>
          <w:rFonts w:ascii="Times New Roman" w:hAnsi="Times New Roman" w:cs="Times New Roman"/>
          <w:b/>
          <w:color w:val="000000"/>
          <w:w w:val="112"/>
          <w:sz w:val="20"/>
          <w:szCs w:val="20"/>
        </w:rPr>
        <w:t>2.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12"/>
          <w:sz w:val="20"/>
          <w:szCs w:val="20"/>
        </w:rPr>
        <w:t>Political dialogue, good governance and strengthening institutions</w:t>
      </w:r>
    </w:p>
    <w:p w:rsidR="00A76502" w:rsidRDefault="00A76502">
      <w:pPr>
        <w:spacing w:after="0" w:line="230" w:lineRule="exact"/>
        <w:ind w:left="1958"/>
        <w:rPr>
          <w:sz w:val="24"/>
          <w:szCs w:val="24"/>
        </w:rPr>
      </w:pPr>
    </w:p>
    <w:p w:rsidR="00A76502" w:rsidRDefault="00F26290">
      <w:pPr>
        <w:tabs>
          <w:tab w:val="left" w:pos="3369"/>
        </w:tabs>
        <w:spacing w:before="35" w:after="0" w:line="230" w:lineRule="exact"/>
        <w:ind w:left="1958" w:firstLine="700"/>
      </w:pPr>
      <w:r>
        <w:rPr>
          <w:rFonts w:ascii="Times New Roman" w:hAnsi="Times New Roman" w:cs="Times New Roman"/>
          <w:b/>
          <w:color w:val="000000"/>
          <w:w w:val="112"/>
          <w:sz w:val="20"/>
          <w:szCs w:val="20"/>
        </w:rPr>
        <w:t>2.1.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12"/>
          <w:sz w:val="20"/>
          <w:szCs w:val="20"/>
        </w:rPr>
        <w:t>Democracy, human rights and good governance</w:t>
      </w:r>
    </w:p>
    <w:p w:rsidR="00A76502" w:rsidRDefault="00F26290">
      <w:pPr>
        <w:spacing w:before="205" w:after="0" w:line="310" w:lineRule="exact"/>
        <w:ind w:left="1958" w:right="1036" w:firstLine="9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The reporting period saw major domestic developments. By-elections for one parliamentary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seat and five mayoral posts took place in May. Following an intense campaign, the ruling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Georgian Dream party won all six. Georgian Dream maintained its strong majority in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Parliament. although the loss of a number of MPs left it without a constitutional majority for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the first time since 2016.</w:t>
      </w:r>
    </w:p>
    <w:p w:rsidR="00A76502" w:rsidRDefault="00F26290">
      <w:pPr>
        <w:spacing w:before="194" w:after="0" w:line="306" w:lineRule="exact"/>
        <w:ind w:left="1958" w:right="1007"/>
        <w:jc w:val="both"/>
      </w:pP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On 20 June, a Russian State Duma meMber, chair of the Orthodox Inter-Parliamentary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Assembly, took the Georgian Speaker's seat during a meeting in the Georgian Parliament. He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was present at the invitation of members of the Georgian Dream party. </w:t>
      </w:r>
      <w:r>
        <w:rPr>
          <w:rFonts w:ascii="Times New Roman" w:hAnsi="Times New Roman" w:cs="Times New Roman"/>
          <w:b/>
          <w:color w:val="000000"/>
          <w:w w:val="118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event triggered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major anti-Government protests. These were dispersed by the police, but their use of tear gas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and rubber bullets caused serious injuries and led to further demonstrations during the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following months. Two investigations were launched — one into the demonstrators' use of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'group violence'; the other into excessive use of force by the police.</w:t>
      </w:r>
    </w:p>
    <w:p w:rsidR="00A76502" w:rsidRDefault="00F26290">
      <w:pPr>
        <w:spacing w:before="183" w:after="0" w:line="320" w:lineRule="exact"/>
        <w:ind w:left="1958" w:right="1036" w:firstLine="14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>In response to the protests, the Speaker of Parliament resigned and Georgian Dream tabled a constitutional amendment to introduce fully proportional elections in 2020, rather than 2024</w:t>
      </w:r>
    </w:p>
    <w:p w:rsidR="00A76502" w:rsidRDefault="00F26290">
      <w:pPr>
        <w:framePr w:w="195" w:wrap="auto" w:vAnchor="page" w:hAnchor="page" w:x="10608" w:y="15291"/>
        <w:spacing w:after="0" w:line="160" w:lineRule="atLeast"/>
      </w:pPr>
      <w:r>
        <w:rPr>
          <w:rFonts w:ascii="Times New Roman" w:hAnsi="Times New Roman" w:cs="Times New Roman"/>
          <w:color w:val="000000"/>
          <w:sz w:val="16"/>
          <w:szCs w:val="16"/>
        </w:rPr>
        <w:t>2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08" w:lineRule="exact"/>
        <w:ind w:left="1814"/>
        <w:rPr>
          <w:sz w:val="24"/>
          <w:szCs w:val="24"/>
        </w:rPr>
      </w:pPr>
    </w:p>
    <w:p w:rsidR="00A76502" w:rsidRDefault="00A76502">
      <w:pPr>
        <w:spacing w:after="0" w:line="308" w:lineRule="exact"/>
        <w:ind w:left="1814"/>
        <w:rPr>
          <w:sz w:val="24"/>
          <w:szCs w:val="24"/>
        </w:rPr>
      </w:pPr>
    </w:p>
    <w:p w:rsidR="00A76502" w:rsidRDefault="00A76502">
      <w:pPr>
        <w:spacing w:after="0" w:line="308" w:lineRule="exact"/>
        <w:ind w:left="1814"/>
        <w:rPr>
          <w:sz w:val="24"/>
          <w:szCs w:val="24"/>
        </w:rPr>
      </w:pPr>
    </w:p>
    <w:p w:rsidR="00A76502" w:rsidRDefault="00F26290">
      <w:pPr>
        <w:spacing w:before="202" w:after="0" w:line="308" w:lineRule="exact"/>
        <w:ind w:left="1814" w:right="1189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as provided for in the Constitution. Prime Minister Bakhtadze also resigned on 2 September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and Giorgi Gakharia, the former Minister of Internal Affairs, succeeded him. Georgian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Dream proposed the introduction for 2020 of a zero threshold </w:t>
      </w:r>
      <w:r>
        <w:rPr>
          <w:rFonts w:ascii="Times New Roman" w:hAnsi="Times New Roman" w:cs="Times New Roman"/>
          <w:i/>
          <w:color w:val="000000"/>
          <w:w w:val="115"/>
        </w:rPr>
        <w:t xml:space="preserve">(de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facto a 0.67% threshold of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the votes) to be represented in Parliament, instead of the current 3%. The failure of the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Parliament on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14 November to pass the constitutional amendments led to further political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instability and street protests. The process of election reform halted. Political dialogue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meetings took place in order to find a solution to the stalemate and agree on the way forward 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ahead of the elections.</w:t>
      </w:r>
    </w:p>
    <w:p w:rsidR="00A76502" w:rsidRDefault="00F26290">
      <w:pPr>
        <w:spacing w:before="192" w:after="0" w:line="308" w:lineRule="exact"/>
        <w:ind w:left="1814" w:right="1180"/>
        <w:jc w:val="both"/>
      </w:pP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The criminal  investigation of the two co-founders of TBC Bank continued, with the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Prosecutor's Office charging Mamuka Khazaradze and Badri Japaridze over the summer in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connection with an alleged money laundering case dating from eleven years ago. Charges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relating to the same transactions were also brought against Vakhtang Tsereteli, the father of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the owner of the Pirveli TV channel. In September, Khazaradze and Japaridze launched a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civic movement, Lelo, which became a political party in December.</w:t>
      </w:r>
    </w:p>
    <w:p w:rsidR="00A76502" w:rsidRDefault="00F26290">
      <w:pPr>
        <w:spacing w:before="192" w:after="0" w:line="309" w:lineRule="exact"/>
        <w:ind w:left="1823" w:right="1195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The media landscape remained polarised and underwent substantial changes following the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ECHR verdict in the Rustavi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2 case, which was published in July3. The ECHR lifted the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suspension on the 2017 verdict of Georgia's Supreme Court and the channel was restored to </w:t>
      </w: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its  previous owner. This  led to wide-ranging changes of management and staff.  By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September, several journalists had left to work for the Main Channel, a new channel owned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by Rustavi 2's former director, Nika Gvaramia. In December the ECHR's Grand Chamber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rejected the appeal on the ruling, effectively ending the legal dispute with the confirmed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change of ownership of the channel.  Euronews Georgia was  launched in  September (projected to be on air before summer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2020) and Formula TV started broadcasting in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October. In the 2019 World Press Freedom Index4, Georgia moved up one place and now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ranks 60th out of 180 countries. Its Freedom House rating remained stable, with an aggregate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'freedom score' of 63/1005.</w:t>
      </w:r>
    </w:p>
    <w:p w:rsidR="00A76502" w:rsidRDefault="00F26290">
      <w:pPr>
        <w:spacing w:before="191" w:after="0" w:line="310" w:lineRule="exact"/>
        <w:ind w:left="1838" w:right="1194"/>
        <w:jc w:val="both"/>
      </w:pPr>
      <w:r>
        <w:rPr>
          <w:rFonts w:ascii="Times New Roman" w:hAnsi="Times New Roman" w:cs="Times New Roman"/>
          <w:i/>
          <w:color w:val="000000"/>
          <w:w w:val="113"/>
        </w:rPr>
        <w:t xml:space="preserve">Civil society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remained very active and involved in monitoring the implementation of the AA,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including the DCFTA. However, although it plays an important role in policy formulation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and government oversight, including to some extent at local level, there are no formal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mechanisms governing its liaison with Government and Parliament. Also, trust needs to be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rebuilt following the 2018 falling-out betWeen certain CSOs and state institutions.</w:t>
      </w:r>
    </w:p>
    <w:p w:rsidR="00A76502" w:rsidRDefault="00A76502">
      <w:pPr>
        <w:spacing w:after="0" w:line="230" w:lineRule="exact"/>
        <w:ind w:left="1838"/>
        <w:rPr>
          <w:sz w:val="24"/>
          <w:szCs w:val="24"/>
        </w:rPr>
      </w:pPr>
    </w:p>
    <w:p w:rsidR="00A76502" w:rsidRDefault="00F26290">
      <w:pPr>
        <w:spacing w:before="27" w:after="0" w:line="230" w:lineRule="exact"/>
        <w:ind w:left="1838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The Public Defender's Office continuecko play an active oversight role.</w:t>
      </w:r>
    </w:p>
    <w:p w:rsidR="00A76502" w:rsidRDefault="00F26290">
      <w:pPr>
        <w:spacing w:before="208" w:after="0" w:line="306" w:lineRule="exact"/>
        <w:ind w:left="1838" w:right="1161"/>
        <w:jc w:val="both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The growing awareness and understanding of women's rights have led to more instances of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gender-based violence being reported to the police, particularly by younger women. The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number of restraining orders in favour of victims of domestic violence and violence against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women had already increased by 75% from 2017 to 2018, and the number of convictions had</w:t>
      </w:r>
    </w:p>
    <w:p w:rsidR="00A76502" w:rsidRDefault="00A76502">
      <w:pPr>
        <w:spacing w:after="0" w:line="184" w:lineRule="exact"/>
        <w:ind w:left="2126"/>
        <w:rPr>
          <w:sz w:val="24"/>
          <w:szCs w:val="24"/>
        </w:rPr>
      </w:pPr>
    </w:p>
    <w:p w:rsidR="00A76502" w:rsidRDefault="00A76502">
      <w:pPr>
        <w:spacing w:after="0" w:line="184" w:lineRule="exact"/>
        <w:ind w:left="2126"/>
        <w:rPr>
          <w:sz w:val="24"/>
          <w:szCs w:val="24"/>
        </w:rPr>
      </w:pPr>
    </w:p>
    <w:p w:rsidR="00A76502" w:rsidRDefault="00A76502">
      <w:pPr>
        <w:spacing w:after="0" w:line="184" w:lineRule="exact"/>
        <w:ind w:left="2126"/>
        <w:rPr>
          <w:sz w:val="24"/>
          <w:szCs w:val="24"/>
        </w:rPr>
      </w:pPr>
    </w:p>
    <w:p w:rsidR="00A76502" w:rsidRDefault="00A76502">
      <w:pPr>
        <w:spacing w:after="0" w:line="184" w:lineRule="exact"/>
        <w:ind w:left="2126"/>
        <w:rPr>
          <w:sz w:val="24"/>
          <w:szCs w:val="24"/>
        </w:rPr>
      </w:pPr>
    </w:p>
    <w:p w:rsidR="00A76502" w:rsidRDefault="00830553">
      <w:pPr>
        <w:spacing w:before="159" w:after="0" w:line="184" w:lineRule="exact"/>
        <w:ind w:left="2126"/>
      </w:pPr>
      <w:hyperlink r:id="rId4" w:history="1">
        <w:r w:rsidR="00F26290">
          <w:rPr>
            <w:rFonts w:ascii="Times New Roman" w:hAnsi="Times New Roman" w:cs="Times New Roman"/>
            <w:color w:val="000000"/>
            <w:w w:val="118"/>
            <w:sz w:val="16"/>
            <w:szCs w:val="16"/>
          </w:rPr>
          <w:t>https:i+</w:t>
        </w:r>
      </w:hyperlink>
      <w:r w:rsidR="00F26290">
        <w:rPr>
          <w:rFonts w:ascii="Times New Roman" w:hAnsi="Times New Roman" w:cs="Times New Roman"/>
          <w:color w:val="000000"/>
          <w:w w:val="118"/>
          <w:sz w:val="16"/>
          <w:szCs w:val="16"/>
        </w:rPr>
        <w:t xml:space="preserve"> hudoc.echr.coe.invertg-pres0 "itemid":["003-6464450-8514363"]}</w:t>
      </w:r>
    </w:p>
    <w:p w:rsidR="00A76502" w:rsidRDefault="00F26290">
      <w:pPr>
        <w:tabs>
          <w:tab w:val="left" w:pos="2126"/>
        </w:tabs>
        <w:spacing w:before="47" w:after="0" w:line="184" w:lineRule="exact"/>
        <w:ind w:left="1843"/>
      </w:pPr>
      <w:r>
        <w:rPr>
          <w:rFonts w:ascii="Times New Roman" w:hAnsi="Times New Roman" w:cs="Times New Roman"/>
          <w:color w:val="000000"/>
          <w:sz w:val="10"/>
          <w:szCs w:val="10"/>
        </w:rPr>
        <w:t>4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hyperlink w:history="1">
        <w:r>
          <w:rPr>
            <w:rFonts w:ascii="Times New Roman" w:hAnsi="Times New Roman" w:cs="Times New Roman"/>
            <w:color w:val="000000"/>
            <w:w w:val="112"/>
            <w:sz w:val="16"/>
            <w:szCs w:val="16"/>
          </w:rPr>
          <w:t>https:/</w:t>
        </w:r>
      </w:hyperlink>
      <w:r>
        <w:rPr>
          <w:rFonts w:ascii="Times New Roman" w:hAnsi="Times New Roman" w:cs="Times New Roman"/>
          <w:color w:val="000000"/>
          <w:w w:val="112"/>
          <w:sz w:val="16"/>
          <w:szCs w:val="16"/>
        </w:rPr>
        <w:t xml:space="preserve"> rsfurv.;ery ranking</w:t>
      </w:r>
    </w:p>
    <w:p w:rsidR="00A76502" w:rsidRDefault="00F26290">
      <w:pPr>
        <w:tabs>
          <w:tab w:val="left" w:pos="2126"/>
        </w:tabs>
        <w:spacing w:before="36" w:after="0" w:line="184" w:lineRule="exact"/>
        <w:ind w:left="1843"/>
      </w:pPr>
      <w:r>
        <w:rPr>
          <w:rFonts w:ascii="Times New Roman" w:hAnsi="Times New Roman" w:cs="Times New Roman"/>
          <w:color w:val="000000"/>
          <w:sz w:val="10"/>
          <w:szCs w:val="10"/>
        </w:rPr>
        <w:t>5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w w:val="118"/>
          <w:sz w:val="16"/>
          <w:szCs w:val="16"/>
        </w:rPr>
        <w:t>hops:Ifreedornhouse.orgireportifreedom-worldi2018igeorgia</w:t>
      </w:r>
    </w:p>
    <w:p w:rsidR="00A76502" w:rsidRDefault="00F26290">
      <w:pPr>
        <w:framePr w:w="186" w:wrap="auto" w:vAnchor="page" w:hAnchor="page" w:x="10464" w:y="15214"/>
        <w:spacing w:after="0" w:line="160" w:lineRule="atLeast"/>
      </w:pPr>
      <w:r>
        <w:rPr>
          <w:rFonts w:ascii="Times New Roman" w:hAnsi="Times New Roman" w:cs="Times New Roman"/>
          <w:color w:val="000000"/>
          <w:sz w:val="16"/>
          <w:szCs w:val="16"/>
        </w:rPr>
        <w:t>3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20" w:lineRule="exact"/>
        <w:ind w:left="1723"/>
        <w:rPr>
          <w:sz w:val="24"/>
          <w:szCs w:val="24"/>
        </w:rPr>
      </w:pPr>
    </w:p>
    <w:p w:rsidR="00A76502" w:rsidRDefault="00A76502">
      <w:pPr>
        <w:spacing w:after="0" w:line="320" w:lineRule="exact"/>
        <w:ind w:left="1723"/>
        <w:rPr>
          <w:sz w:val="24"/>
          <w:szCs w:val="24"/>
        </w:rPr>
      </w:pPr>
    </w:p>
    <w:p w:rsidR="00A76502" w:rsidRDefault="00A76502">
      <w:pPr>
        <w:spacing w:after="0" w:line="320" w:lineRule="exact"/>
        <w:ind w:left="1723"/>
        <w:rPr>
          <w:sz w:val="24"/>
          <w:szCs w:val="24"/>
        </w:rPr>
      </w:pPr>
    </w:p>
    <w:p w:rsidR="00A76502" w:rsidRDefault="00F26290">
      <w:pPr>
        <w:tabs>
          <w:tab w:val="left" w:pos="3105"/>
        </w:tabs>
        <w:spacing w:before="236" w:after="0" w:line="320" w:lineRule="exact"/>
        <w:ind w:left="1723" w:right="1281"/>
        <w:jc w:val="both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also risen, by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65%. in the same period. Previously, victims of domestic violence needed a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court decision in order to be accepted in a shelter, but that requirement was lifted in 2019.</w:t>
      </w:r>
    </w:p>
    <w:p w:rsidR="00A76502" w:rsidRDefault="00F26290">
      <w:pPr>
        <w:spacing w:before="189" w:after="0" w:line="310" w:lineRule="exact"/>
        <w:ind w:left="1718" w:right="1281" w:firstLine="4"/>
        <w:jc w:val="both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As regards </w:t>
      </w:r>
      <w:r>
        <w:rPr>
          <w:rFonts w:ascii="Times New Roman" w:hAnsi="Times New Roman" w:cs="Times New Roman"/>
          <w:b/>
          <w:i/>
          <w:color w:val="000000"/>
          <w:w w:val="121"/>
          <w:sz w:val="20"/>
          <w:szCs w:val="20"/>
        </w:rPr>
        <w:t xml:space="preserve">gender equality,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Georgia's 2018 Global Gender Gap score stood at 68%, just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below the world average, putting it 99th out of 149 countries6. It ranked </w:t>
      </w:r>
      <w:r>
        <w:rPr>
          <w:rFonts w:ascii="Times New Roman" w:hAnsi="Times New Roman" w:cs="Times New Roman"/>
          <w:color w:val="000000"/>
          <w:w w:val="103"/>
          <w:sz w:val="20"/>
          <w:szCs w:val="20"/>
        </w:rPr>
        <w:t xml:space="preserve">119th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(also of 149 countries) for women's political empowerment. The number of female MPs has been rising in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the last few years, but women still hold only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15% of seats in the Parliament (2019). Women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are also under-represented in local government and executive branches of government.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Georgia ranked 85th for women's economic participation and opportunity in 2018. Women's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average monthly wage was only 64% of men's', according to GEOSTAT.</w:t>
      </w:r>
    </w:p>
    <w:p w:rsidR="00A76502" w:rsidRDefault="00F26290">
      <w:pPr>
        <w:spacing w:before="190" w:after="0" w:line="310" w:lineRule="exact"/>
        <w:ind w:left="1718" w:right="1285" w:firstLine="19"/>
        <w:jc w:val="both"/>
      </w:pP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In May, the Labour Code and a number of other laws were amended, with sexual harassment </w:t>
      </w:r>
      <w:r w:rsidRPr="007E0C90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being defined as a form of unlawful discrimination in the workplace and administrative </w:t>
      </w:r>
      <w:r w:rsidRPr="007E0C90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penalties introduced for sexual harassment in public spaces. The Public Defender is mandated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to examine allegations of sexual harassment in the workplace and refer them to the court if its </w:t>
      </w: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recommendations are not followed. The Government made an effort to raise awareness and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build capacity in state bodies as regards gender mainstreaming in national policies. However, </w:t>
      </w:r>
      <w:r w:rsidRPr="007E0C90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the key Government body, the Inter-Agency Commission on Gender Equality, received no additional staff to ensure adequate administrative support. Its Chair resigned in April </w:t>
      </w:r>
      <w:r w:rsidRPr="007E0C90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2019 and the position remains vacant.</w:t>
      </w:r>
    </w:p>
    <w:p w:rsidR="00A76502" w:rsidRDefault="00F26290">
      <w:pPr>
        <w:spacing w:before="192" w:after="0" w:line="308" w:lineRule="exact"/>
        <w:ind w:left="1713" w:right="1252" w:firstLine="9"/>
        <w:jc w:val="both"/>
      </w:pPr>
      <w:r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Amendments to improve enforcement of the Law on the Elimination of all Forms of </w:t>
      </w:r>
      <w:r>
        <w:rPr>
          <w:rFonts w:ascii="Times New Roman" w:hAnsi="Times New Roman" w:cs="Times New Roman"/>
          <w:b/>
          <w:i/>
          <w:color w:val="000000"/>
          <w:w w:val="114"/>
          <w:sz w:val="20"/>
          <w:szCs w:val="20"/>
        </w:rPr>
        <w:t xml:space="preserve">Discrimination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were adopted in May. Nevertheless, there are still incidents of discrimination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against lesbian, gay, bisexual, transgender and intersex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(LGBTI+) persons in the fields of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employment and healthcare, and on social and economic issues. A small, symbolic Pride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march took place in front of the Ministry of Internal Affairs on 8 July after the organisers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failed to reach an agreement with the authorities on holding it elsewhere. Far-right groups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had called for a 'hunt' to arrest Pride participants; investigations against the instigators have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yet to yield results.</w:t>
      </w:r>
    </w:p>
    <w:p w:rsidR="00A76502" w:rsidRDefault="00F26290">
      <w:pPr>
        <w:spacing w:before="215" w:after="0" w:line="305" w:lineRule="exact"/>
        <w:ind w:left="1723" w:right="1276" w:firstLine="9"/>
        <w:jc w:val="both"/>
      </w:pPr>
      <w:r w:rsidRPr="007E0C90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In September, Georgia adopted a Child Rights' Code which will fully enter into force on I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June 2020. This umbrella document introduces legal grounds, safeguards, and guarantees for </w:t>
      </w:r>
      <w:r w:rsidRPr="007E0C90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the realisation of overarching principles, rights and freedoms of the child. Furthermore. it </w:t>
      </w:r>
      <w:r w:rsidRPr="007E0C90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provides  legal  guarantees  for  empowering the child  in  independently exercising and </w:t>
      </w:r>
      <w:r w:rsidRPr="007E0C90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protecting his/her rights.</w:t>
      </w:r>
    </w:p>
    <w:p w:rsidR="00A76502" w:rsidRDefault="00F26290">
      <w:pPr>
        <w:tabs>
          <w:tab w:val="left" w:pos="2385"/>
        </w:tabs>
        <w:spacing w:before="191" w:after="0" w:line="310" w:lineRule="exact"/>
        <w:ind w:left="1723" w:right="1281" w:firstLine="9"/>
        <w:jc w:val="both"/>
      </w:pPr>
      <w:bookmarkStart w:id="1" w:name="OLE_LINK2"/>
      <w:bookmarkStart w:id="2" w:name="OLE_LINK3"/>
      <w:bookmarkStart w:id="3" w:name="OLE_LINK1"/>
      <w:r w:rsidRPr="007E0C90">
        <w:rPr>
          <w:rFonts w:ascii="Times New Roman" w:hAnsi="Times New Roman" w:cs="Times New Roman"/>
          <w:color w:val="000000"/>
          <w:w w:val="109"/>
          <w:sz w:val="20"/>
          <w:szCs w:val="20"/>
          <w:highlight w:val="yellow"/>
        </w:rPr>
        <w:t xml:space="preserve">Infant </w:t>
      </w:r>
      <w:r w:rsidRPr="007E0C90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7E0C90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(and maternal) mortality rates remain high. There are significant variations in the </w:t>
      </w:r>
      <w:r w:rsidRPr="007E0C90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nutritional status of children from different socio-economic groups. Child poverty also </w:t>
      </w:r>
      <w:r w:rsidRPr="007E0C90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remains high — every fifth child lives in a household in which their basic needs are unmet. As </w:t>
      </w:r>
      <w:r w:rsidRPr="007E0C90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from January 2019, the Government increased the monthly child benefit from GEL </w:t>
      </w:r>
      <w:r w:rsidRPr="007E0C90">
        <w:rPr>
          <w:rFonts w:ascii="Times New Roman" w:hAnsi="Times New Roman" w:cs="Times New Roman"/>
          <w:color w:val="000000"/>
          <w:w w:val="109"/>
          <w:sz w:val="20"/>
          <w:szCs w:val="20"/>
          <w:highlight w:val="yellow"/>
        </w:rPr>
        <w:t xml:space="preserve">10 to </w:t>
      </w:r>
      <w:r w:rsidRPr="007E0C90">
        <w:rPr>
          <w:rFonts w:ascii="Times New Roman" w:hAnsi="Times New Roman" w:cs="Times New Roman"/>
          <w:color w:val="000000"/>
          <w:w w:val="110"/>
          <w:sz w:val="20"/>
          <w:szCs w:val="20"/>
          <w:highlight w:val="yellow"/>
        </w:rPr>
        <w:t xml:space="preserve">GEL 50 </w:t>
      </w:r>
      <w:bookmarkEnd w:id="1"/>
      <w:bookmarkEnd w:id="2"/>
      <w:r w:rsidRPr="007E0C90">
        <w:rPr>
          <w:rFonts w:ascii="Times New Roman" w:hAnsi="Times New Roman" w:cs="Times New Roman"/>
          <w:color w:val="000000"/>
          <w:w w:val="110"/>
          <w:sz w:val="20"/>
          <w:szCs w:val="20"/>
          <w:highlight w:val="yellow"/>
        </w:rPr>
        <w:t>and it has been testing food vouchers for children. Overall, around one in four</w:t>
      </w:r>
    </w:p>
    <w:bookmarkEnd w:id="3"/>
    <w:p w:rsidR="00A76502" w:rsidRDefault="00A76502">
      <w:pPr>
        <w:spacing w:after="0" w:line="192" w:lineRule="exact"/>
        <w:ind w:left="1718"/>
        <w:rPr>
          <w:sz w:val="24"/>
          <w:szCs w:val="24"/>
        </w:rPr>
      </w:pPr>
    </w:p>
    <w:p w:rsidR="00A76502" w:rsidRDefault="00A76502">
      <w:pPr>
        <w:spacing w:after="0" w:line="192" w:lineRule="exact"/>
        <w:ind w:left="1718"/>
        <w:rPr>
          <w:sz w:val="24"/>
          <w:szCs w:val="24"/>
        </w:rPr>
      </w:pPr>
    </w:p>
    <w:p w:rsidR="00A76502" w:rsidRDefault="00A76502">
      <w:pPr>
        <w:spacing w:after="0" w:line="192" w:lineRule="exact"/>
        <w:ind w:left="1718"/>
        <w:rPr>
          <w:sz w:val="24"/>
          <w:szCs w:val="24"/>
        </w:rPr>
      </w:pPr>
    </w:p>
    <w:p w:rsidR="00A76502" w:rsidRDefault="00A76502">
      <w:pPr>
        <w:spacing w:after="0" w:line="192" w:lineRule="exact"/>
        <w:ind w:left="1718"/>
        <w:rPr>
          <w:sz w:val="24"/>
          <w:szCs w:val="24"/>
        </w:rPr>
      </w:pPr>
    </w:p>
    <w:p w:rsidR="00A76502" w:rsidRDefault="00A76502">
      <w:pPr>
        <w:spacing w:after="0" w:line="192" w:lineRule="exact"/>
        <w:ind w:left="1718"/>
        <w:rPr>
          <w:sz w:val="24"/>
          <w:szCs w:val="24"/>
        </w:rPr>
      </w:pPr>
    </w:p>
    <w:p w:rsidR="00A76502" w:rsidRDefault="00F26290">
      <w:pPr>
        <w:tabs>
          <w:tab w:val="left" w:pos="1996"/>
        </w:tabs>
        <w:spacing w:before="128" w:after="0" w:line="192" w:lineRule="exact"/>
        <w:ind w:left="1718"/>
      </w:pPr>
      <w:r>
        <w:rPr>
          <w:rFonts w:ascii="Times New Roman" w:hAnsi="Times New Roman" w:cs="Times New Roman"/>
          <w:color w:val="000000"/>
          <w:sz w:val="10"/>
          <w:szCs w:val="10"/>
        </w:rPr>
        <w:t xml:space="preserve">6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hyperlink r:id="rId5" w:history="1">
        <w:r>
          <w:rPr>
            <w:rFonts w:ascii="Times New Roman" w:hAnsi="Times New Roman" w:cs="Times New Roman"/>
            <w:color w:val="000000"/>
            <w:w w:val="116"/>
            <w:sz w:val="16"/>
            <w:szCs w:val="16"/>
          </w:rPr>
          <w:t>http://www3.weforum.org/docs/WEF_GGGR_20</w:t>
        </w:r>
      </w:hyperlink>
      <w:r>
        <w:rPr>
          <w:rFonts w:ascii="Times New Roman" w:hAnsi="Times New Roman" w:cs="Times New Roman"/>
          <w:color w:val="000000"/>
          <w:w w:val="116"/>
          <w:sz w:val="16"/>
          <w:szCs w:val="16"/>
        </w:rPr>
        <w:t xml:space="preserve"> 1 8.pdf</w:t>
      </w:r>
    </w:p>
    <w:p w:rsidR="00A76502" w:rsidRDefault="00F26290">
      <w:pPr>
        <w:spacing w:before="35" w:after="0" w:line="184" w:lineRule="exact"/>
        <w:ind w:left="1991"/>
      </w:pPr>
      <w:r>
        <w:rPr>
          <w:rFonts w:ascii="Times New Roman" w:hAnsi="Times New Roman" w:cs="Times New Roman"/>
          <w:color w:val="000000"/>
          <w:w w:val="113"/>
          <w:sz w:val="16"/>
          <w:szCs w:val="16"/>
        </w:rPr>
        <w:t xml:space="preserve">GEOSTAT; </w:t>
      </w:r>
      <w:hyperlink w:history="1">
        <w:r>
          <w:rPr>
            <w:rFonts w:ascii="Times New Roman" w:hAnsi="Times New Roman" w:cs="Times New Roman"/>
            <w:color w:val="000000"/>
            <w:w w:val="113"/>
            <w:sz w:val="16"/>
            <w:szCs w:val="16"/>
          </w:rPr>
          <w:t>https:</w:t>
        </w:r>
      </w:hyperlink>
      <w:r>
        <w:rPr>
          <w:rFonts w:ascii="Times New Roman" w:hAnsi="Times New Roman" w:cs="Times New Roman"/>
          <w:color w:val="000000"/>
          <w:w w:val="113"/>
          <w:sz w:val="16"/>
          <w:szCs w:val="16"/>
        </w:rPr>
        <w:t>,1./</w:t>
      </w:r>
      <w:hyperlink r:id="rId6" w:history="1">
        <w:r>
          <w:rPr>
            <w:rFonts w:ascii="Times New Roman" w:hAnsi="Times New Roman" w:cs="Times New Roman"/>
            <w:color w:val="000000"/>
            <w:w w:val="113"/>
            <w:sz w:val="16"/>
            <w:szCs w:val="16"/>
          </w:rPr>
          <w:t>www.cteostat.gelenimodules/categories/391wages</w:t>
        </w:r>
      </w:hyperlink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280" w:lineRule="exact"/>
        <w:ind w:left="1867"/>
        <w:rPr>
          <w:sz w:val="24"/>
          <w:szCs w:val="24"/>
        </w:rPr>
      </w:pPr>
    </w:p>
    <w:p w:rsidR="00A76502" w:rsidRDefault="00A76502">
      <w:pPr>
        <w:spacing w:after="0" w:line="280" w:lineRule="exact"/>
        <w:ind w:left="1867"/>
        <w:rPr>
          <w:sz w:val="24"/>
          <w:szCs w:val="24"/>
        </w:rPr>
      </w:pPr>
    </w:p>
    <w:p w:rsidR="00A76502" w:rsidRDefault="00A76502">
      <w:pPr>
        <w:spacing w:after="0" w:line="280" w:lineRule="exact"/>
        <w:ind w:left="1867"/>
        <w:rPr>
          <w:sz w:val="24"/>
          <w:szCs w:val="24"/>
        </w:rPr>
      </w:pPr>
    </w:p>
    <w:p w:rsidR="00A76502" w:rsidRDefault="00A76502">
      <w:pPr>
        <w:spacing w:after="0" w:line="280" w:lineRule="exact"/>
        <w:ind w:left="1867"/>
        <w:rPr>
          <w:sz w:val="24"/>
          <w:szCs w:val="24"/>
        </w:rPr>
      </w:pPr>
    </w:p>
    <w:p w:rsidR="00A76502" w:rsidRDefault="00F26290">
      <w:pPr>
        <w:spacing w:before="29" w:after="0" w:line="280" w:lineRule="exact"/>
        <w:ind w:left="1867" w:right="1175"/>
        <w:jc w:val="both"/>
      </w:pPr>
      <w:r w:rsidRPr="007E0C90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children does not attend pre-primary school; the rate is particularly high among children </w:t>
      </w:r>
      <w:r w:rsidRPr="007E0C90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belonging to disadvantaged and marginalised groups8.</w:t>
      </w:r>
    </w:p>
    <w:p w:rsidR="00A76502" w:rsidRDefault="00F26290">
      <w:pPr>
        <w:spacing w:before="220" w:after="0" w:line="305" w:lineRule="exact"/>
        <w:ind w:left="1867" w:right="1160"/>
        <w:jc w:val="both"/>
      </w:pPr>
      <w:r w:rsidRPr="007E0C90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Childcare has still  not been  fully de-institutionalised. Two large state-run  institutions </w:t>
      </w:r>
      <w:r w:rsidRPr="007E0C90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continue to operate, housing about 80 children with severe and multiple disabilities. Over 900 </w:t>
      </w: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children live in </w:t>
      </w:r>
      <w:r w:rsidRPr="007E0C90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38 unregulated institutions, mainly boarding schools financed and run by </w:t>
      </w: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local municipalities, the Georgian Orthodox Church and Muslim communities. In 2019, the </w:t>
      </w:r>
      <w:r w:rsidRPr="007E0C90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Government started to extend state regulations and standards to these institutions. In response </w:t>
      </w:r>
      <w:r w:rsidRPr="007E0C90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to a strike by public social service workers in March, the Government agreed to increase </w:t>
      </w: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>investment in social services capacity and quality case management, and launched an inter-</w:t>
      </w:r>
      <w:r w:rsidRPr="007E0C90">
        <w:rPr>
          <w:highlight w:val="yellow"/>
        </w:rPr>
        <w:br/>
      </w:r>
      <w:r w:rsidRPr="007E0C90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institutional approach to violence against children.</w:t>
      </w:r>
    </w:p>
    <w:p w:rsidR="00A76502" w:rsidRDefault="00F26290">
      <w:pPr>
        <w:spacing w:before="189" w:after="0" w:line="313" w:lineRule="exact"/>
        <w:ind w:left="1867" w:right="1160" w:firstLine="4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A multidisciplinary cooperation mechanism involving inter alia prosecutors, police officers,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lawyers, social workers and psychologists was set up at central and regional levels to support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the implementation of the </w:t>
      </w:r>
      <w:r>
        <w:rPr>
          <w:rFonts w:ascii="Times New Roman" w:hAnsi="Times New Roman" w:cs="Times New Roman"/>
          <w:b/>
          <w:i/>
          <w:color w:val="000000"/>
          <w:w w:val="120"/>
          <w:sz w:val="20"/>
          <w:szCs w:val="20"/>
        </w:rPr>
        <w:t xml:space="preserve">Juvenile Justice Code.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However, the judiciary has yet fully to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adopt a child-sensitive approach.</w:t>
      </w:r>
    </w:p>
    <w:p w:rsidR="00A76502" w:rsidRDefault="00F26290">
      <w:pPr>
        <w:tabs>
          <w:tab w:val="left" w:pos="5035"/>
        </w:tabs>
        <w:spacing w:before="190" w:after="0" w:line="310" w:lineRule="exact"/>
        <w:ind w:left="1867" w:right="1165" w:firstLine="14"/>
        <w:jc w:val="both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With regard to </w:t>
      </w:r>
      <w:r>
        <w:rPr>
          <w:rFonts w:ascii="Times New Roman" w:hAnsi="Times New Roman" w:cs="Times New Roman"/>
          <w:b/>
          <w:i/>
          <w:color w:val="000000"/>
          <w:w w:val="121"/>
          <w:sz w:val="20"/>
          <w:szCs w:val="20"/>
        </w:rPr>
        <w:t xml:space="preserve">ill treatment,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2019-2020 action plan on fighting torture, inhuman and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degrading treatment or punishment was adopted in May. The transfer of independent powers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of investigation to the State Inspectorate, planned for January, took place on </w:t>
      </w: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 xml:space="preserve">1 November, </w:t>
      </w: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due to  insufficient budget allocation. The new powers cover data protection and the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investigation of crimes committed by law enforcement officials. An investigation into the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widely reported abduction of an Azerbaijani human rights defender on Georgian territory in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May 2017 and his irregular transfer to Azerbaijan is still ongoing.</w:t>
      </w:r>
    </w:p>
    <w:p w:rsidR="00A76502" w:rsidRDefault="00F26290">
      <w:pPr>
        <w:spacing w:before="194" w:after="0" w:line="306" w:lineRule="exact"/>
        <w:ind w:left="1871" w:right="1132"/>
        <w:jc w:val="both"/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A periodic assessment by the Council of Europe's Prevention of Torture Committee (CPT)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was satisfactory overall, but highlighted shortcomings as regards mental health facilities, the </w:t>
      </w:r>
      <w:r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existence of an  informal hierarchy among prisoners in certain prisons and a lack of </w:t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>meaningful out-of-cell activities9.</w:t>
      </w:r>
    </w:p>
    <w:p w:rsidR="00A76502" w:rsidRDefault="00F26290">
      <w:pPr>
        <w:tabs>
          <w:tab w:val="left" w:pos="5687"/>
        </w:tabs>
        <w:spacing w:before="193" w:after="0" w:line="308" w:lineRule="exact"/>
        <w:ind w:left="1871" w:right="1147" w:firstLine="14"/>
        <w:jc w:val="both"/>
      </w:pP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In  June, the Government adopted a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2019-2020 action plan to  implement the </w:t>
      </w:r>
      <w:r>
        <w:rPr>
          <w:rFonts w:ascii="Times New Roman" w:hAnsi="Times New Roman" w:cs="Times New Roman"/>
          <w:b/>
          <w:i/>
          <w:color w:val="000000"/>
          <w:w w:val="123"/>
          <w:sz w:val="20"/>
          <w:szCs w:val="20"/>
        </w:rPr>
        <w:t xml:space="preserve">public </w:t>
      </w:r>
      <w:r>
        <w:rPr>
          <w:rFonts w:ascii="Times New Roman" w:hAnsi="Times New Roman" w:cs="Times New Roman"/>
          <w:b/>
          <w:i/>
          <w:color w:val="000000"/>
          <w:w w:val="121"/>
          <w:sz w:val="20"/>
          <w:szCs w:val="20"/>
        </w:rPr>
        <w:t xml:space="preserve">administration reform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roadmap for 2020. Secondary legislation implementing the Civil Service Law was adopted in the course of the year. New classification and remuneration systems now apply to all civil servants and a new performance appraisal approach being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piloted in key ministries will </w:t>
      </w:r>
      <w:r>
        <w:rPr>
          <w:rFonts w:ascii="Times New Roman" w:hAnsi="Times New Roman" w:cs="Times New Roman"/>
          <w:color w:val="000000"/>
          <w:w w:val="123"/>
          <w:sz w:val="16"/>
          <w:szCs w:val="16"/>
        </w:rPr>
        <w:t xml:space="preserve">be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extended to all institutions. While most of the legal and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institutional conditions are in place, implementation is still incomplete in some ministries.</w:t>
      </w:r>
    </w:p>
    <w:p w:rsidR="00A76502" w:rsidRDefault="00A76502">
      <w:pPr>
        <w:spacing w:after="0" w:line="230" w:lineRule="exact"/>
        <w:ind w:left="2572"/>
        <w:rPr>
          <w:sz w:val="24"/>
          <w:szCs w:val="24"/>
        </w:rPr>
      </w:pPr>
    </w:p>
    <w:p w:rsidR="00A76502" w:rsidRDefault="00F26290">
      <w:pPr>
        <w:tabs>
          <w:tab w:val="left" w:pos="3263"/>
        </w:tabs>
        <w:spacing w:before="42" w:after="0" w:line="230" w:lineRule="exact"/>
        <w:ind w:left="2572"/>
      </w:pPr>
      <w:r>
        <w:rPr>
          <w:rFonts w:ascii="Times New Roman" w:hAnsi="Times New Roman" w:cs="Times New Roman"/>
          <w:b/>
          <w:color w:val="000000"/>
          <w:w w:val="109"/>
          <w:sz w:val="20"/>
          <w:szCs w:val="20"/>
        </w:rPr>
        <w:t>2.2.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09"/>
          <w:sz w:val="20"/>
          <w:szCs w:val="20"/>
        </w:rPr>
        <w:t>Foreign and security policy</w:t>
      </w:r>
    </w:p>
    <w:p w:rsidR="00A76502" w:rsidRDefault="00F26290">
      <w:pPr>
        <w:spacing w:before="189" w:after="0" w:line="310" w:lineRule="exact"/>
        <w:ind w:left="1852" w:right="1151" w:firstLine="28"/>
        <w:jc w:val="both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Georgia was invited to align itself with 55 EU declarations and Council decisions and did so in 37 cases (61%. marking an increase from 56% the year before). It continued to participate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in civil and military crisis management operations under the </w:t>
      </w:r>
      <w:r>
        <w:rPr>
          <w:rFonts w:ascii="Times New Roman" w:hAnsi="Times New Roman" w:cs="Times New Roman"/>
          <w:b/>
          <w:i/>
          <w:color w:val="000000"/>
          <w:w w:val="115"/>
          <w:sz w:val="20"/>
          <w:szCs w:val="20"/>
        </w:rPr>
        <w:t xml:space="preserve">common security and defence </w:t>
      </w:r>
      <w:r>
        <w:rPr>
          <w:rFonts w:ascii="Times New Roman" w:hAnsi="Times New Roman" w:cs="Times New Roman"/>
          <w:b/>
          <w:i/>
          <w:color w:val="000000"/>
          <w:w w:val="117"/>
          <w:sz w:val="20"/>
          <w:szCs w:val="20"/>
        </w:rPr>
        <w:t xml:space="preserve">policy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(CSDP) and to provide 32 troops to the EU military training mission (EUTM) in the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Central African Republic and one officer to EUTM Mali.</w:t>
      </w:r>
    </w:p>
    <w:p w:rsidR="00A76502" w:rsidRDefault="00A76502">
      <w:pPr>
        <w:spacing w:after="0" w:line="184" w:lineRule="exact"/>
        <w:ind w:left="1881"/>
        <w:rPr>
          <w:sz w:val="24"/>
          <w:szCs w:val="24"/>
        </w:rPr>
      </w:pPr>
    </w:p>
    <w:p w:rsidR="00A76502" w:rsidRDefault="00A76502">
      <w:pPr>
        <w:spacing w:after="0" w:line="184" w:lineRule="exact"/>
        <w:ind w:left="1881"/>
        <w:rPr>
          <w:sz w:val="24"/>
          <w:szCs w:val="24"/>
        </w:rPr>
      </w:pPr>
    </w:p>
    <w:p w:rsidR="00A76502" w:rsidRDefault="00F26290">
      <w:pPr>
        <w:tabs>
          <w:tab w:val="left" w:pos="2155"/>
        </w:tabs>
        <w:spacing w:before="54" w:after="0" w:line="184" w:lineRule="exact"/>
        <w:ind w:left="1881"/>
      </w:pPr>
      <w:r>
        <w:rPr>
          <w:rFonts w:ascii="Times New Roman" w:hAnsi="Times New Roman" w:cs="Times New Roman"/>
          <w:color w:val="000000"/>
          <w:sz w:val="10"/>
          <w:szCs w:val="10"/>
        </w:rPr>
        <w:t>8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w w:val="114"/>
          <w:sz w:val="16"/>
          <w:szCs w:val="16"/>
        </w:rPr>
        <w:t>Country gender assessment — Georgia (ADB, 2018).</w:t>
      </w:r>
    </w:p>
    <w:p w:rsidR="00A76502" w:rsidRDefault="00F26290">
      <w:pPr>
        <w:tabs>
          <w:tab w:val="left" w:pos="2155"/>
        </w:tabs>
        <w:spacing w:before="41" w:after="0" w:line="184" w:lineRule="exact"/>
        <w:ind w:left="1881"/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'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w w:val="118"/>
          <w:sz w:val="16"/>
          <w:szCs w:val="16"/>
        </w:rPr>
        <w:t xml:space="preserve">CPT report of September 2018 visit (May 2019); </w:t>
      </w:r>
      <w:hyperlink w:history="1">
        <w:r>
          <w:rPr>
            <w:rFonts w:ascii="Times New Roman" w:hAnsi="Times New Roman" w:cs="Times New Roman"/>
            <w:color w:val="000000"/>
            <w:w w:val="118"/>
            <w:sz w:val="16"/>
            <w:szCs w:val="16"/>
          </w:rPr>
          <w:t>https:</w:t>
        </w:r>
      </w:hyperlink>
      <w:r>
        <w:rPr>
          <w:rFonts w:ascii="Times New Roman" w:hAnsi="Times New Roman" w:cs="Times New Roman"/>
          <w:color w:val="000000"/>
          <w:w w:val="118"/>
          <w:sz w:val="16"/>
          <w:szCs w:val="16"/>
        </w:rPr>
        <w:t>,irm.coe.inti1680945eca</w:t>
      </w:r>
    </w:p>
    <w:p w:rsidR="00A76502" w:rsidRDefault="00F26290">
      <w:pPr>
        <w:framePr w:w="186" w:wrap="auto" w:vAnchor="page" w:hAnchor="page" w:x="10502" w:y="15200"/>
        <w:spacing w:after="0" w:line="160" w:lineRule="atLeast"/>
      </w:pPr>
      <w:r>
        <w:rPr>
          <w:rFonts w:ascii="Times New Roman" w:hAnsi="Times New Roman" w:cs="Times New Roman"/>
          <w:color w:val="000000"/>
          <w:sz w:val="16"/>
          <w:szCs w:val="16"/>
        </w:rPr>
        <w:t>5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00" w:lineRule="exact"/>
        <w:ind w:left="1809"/>
        <w:rPr>
          <w:sz w:val="24"/>
          <w:szCs w:val="24"/>
        </w:rPr>
      </w:pPr>
    </w:p>
    <w:p w:rsidR="00A76502" w:rsidRDefault="00A76502">
      <w:pPr>
        <w:spacing w:after="0" w:line="300" w:lineRule="exact"/>
        <w:ind w:left="1809"/>
        <w:rPr>
          <w:sz w:val="24"/>
          <w:szCs w:val="24"/>
        </w:rPr>
      </w:pPr>
    </w:p>
    <w:p w:rsidR="00A76502" w:rsidRDefault="00A76502">
      <w:pPr>
        <w:spacing w:after="0" w:line="300" w:lineRule="exact"/>
        <w:ind w:left="1809"/>
        <w:rPr>
          <w:sz w:val="24"/>
          <w:szCs w:val="24"/>
        </w:rPr>
      </w:pPr>
    </w:p>
    <w:p w:rsidR="00A76502" w:rsidRDefault="00F26290">
      <w:pPr>
        <w:spacing w:before="273" w:after="0" w:line="300" w:lineRule="exact"/>
        <w:ind w:left="1809" w:right="1209"/>
        <w:jc w:val="both"/>
      </w:pP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A law establishing the new National Security Council, an advisory body to the Prime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Minister, entered into force on 8 April.</w:t>
      </w:r>
    </w:p>
    <w:p w:rsidR="00A76502" w:rsidRDefault="00F26290">
      <w:pPr>
        <w:spacing w:before="192" w:after="0" w:line="310" w:lineRule="exact"/>
        <w:ind w:left="1809" w:right="1204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On 25 October, Georgia and the EU held their third high-level informal strategic security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dialogue meeting, where they confirmed their shared strong interest in closer cooperation on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foreign and security policy, in line with the AA.</w:t>
      </w:r>
    </w:p>
    <w:p w:rsidR="00A76502" w:rsidRDefault="00F26290">
      <w:pPr>
        <w:spacing w:before="182" w:after="0" w:line="320" w:lineRule="exact"/>
        <w:ind w:left="1809" w:right="1204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As of 27 November, Georgia is chairing for the first time and for a period of 6 months the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Council of Europe's Committee of Ministers.</w:t>
      </w:r>
    </w:p>
    <w:p w:rsidR="00A76502" w:rsidRDefault="00F26290">
      <w:pPr>
        <w:spacing w:before="210" w:after="0" w:line="308" w:lineRule="exact"/>
        <w:ind w:left="1809" w:right="1194" w:firstLine="4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In the </w:t>
      </w:r>
      <w:r>
        <w:rPr>
          <w:rFonts w:ascii="Times New Roman" w:hAnsi="Times New Roman" w:cs="Times New Roman"/>
          <w:b/>
          <w:i/>
          <w:color w:val="000000"/>
          <w:w w:val="119"/>
          <w:sz w:val="20"/>
          <w:szCs w:val="20"/>
        </w:rPr>
        <w:t xml:space="preserve">fight against terrorism,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Georgia continued to support the global coalition to defeat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ISIS. In January, it adopted its national counterterrorism strategy for 2019-2021. Countering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violent extremism is a pillar of the strategy and one of the top priorities identified. Georgia </w:t>
      </w: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continues to host one of the Eli's eight chemical, biological, radiological and nuclear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(CBRN) risk-mitigation centres of excellence, allowing the EU to make a crucial investment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in the CBRN preparedness of neighbouring countries, as well as further afield.</w:t>
      </w:r>
    </w:p>
    <w:p w:rsidR="00A76502" w:rsidRDefault="00F26290">
      <w:pPr>
        <w:spacing w:before="192" w:after="0" w:line="308" w:lineRule="exact"/>
        <w:ind w:left="1809" w:right="1190" w:firstLine="4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On </w:t>
      </w:r>
      <w:r>
        <w:rPr>
          <w:rFonts w:ascii="Times New Roman" w:hAnsi="Times New Roman" w:cs="Times New Roman"/>
          <w:b/>
          <w:i/>
          <w:color w:val="000000"/>
          <w:w w:val="117"/>
          <w:sz w:val="20"/>
          <w:szCs w:val="20"/>
        </w:rPr>
        <w:t xml:space="preserve">peaceful conflict resolution,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the situation on the ground deteriorated throughout 2019.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Georgia witnessed increased 'borderisation' activities by the </w:t>
      </w:r>
      <w:r>
        <w:rPr>
          <w:rFonts w:ascii="Times New Roman" w:hAnsi="Times New Roman" w:cs="Times New Roman"/>
          <w:i/>
          <w:color w:val="000000"/>
          <w:w w:val="123"/>
        </w:rPr>
        <w:t xml:space="preserve">de facto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authorities of the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breakaway region of South Ossetia, with the support of Russian border guards, and repeated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closures of the controlled crossing points between the administrative boundary line and Tbilisi-administered  territory.  This caused  additional  hardship for people,  as well </w:t>
      </w:r>
      <w:r>
        <w:rPr>
          <w:rFonts w:ascii="Times New Roman" w:hAnsi="Times New Roman" w:cs="Times New Roman"/>
          <w:color w:val="000000"/>
          <w:w w:val="123"/>
        </w:rPr>
        <w:t xml:space="preserve">as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incidents, including detentions and deaths due to lack of access to hospital care. Furthermore.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since August 2019, serious security challenges emerged in the Chorchana-Tsnelisi area on the Administrative Boundary Line (ABL) with the breakaway region of South Ossetia.</w:t>
      </w:r>
    </w:p>
    <w:p w:rsidR="00A76502" w:rsidRDefault="00F26290">
      <w:pPr>
        <w:spacing w:before="191" w:after="0" w:line="310" w:lineRule="exact"/>
        <w:ind w:left="1814" w:right="1194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The EU continues to firmly support Georgia's sovereignty and territorial integrity within its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internationally recognised borders. It also continues to actively support conflict resolution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efforts financially and through the work of the EU Special Representative for the South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Caucasus and the Crisis in Georgia, and the EU monitoring mission (EUMM). Georgia has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remained committed to the Geneva International Discussions.</w:t>
      </w:r>
    </w:p>
    <w:p w:rsidR="00A76502" w:rsidRDefault="00F26290">
      <w:pPr>
        <w:spacing w:before="188" w:after="0" w:line="313" w:lineRule="exact"/>
        <w:ind w:left="1814" w:right="1180"/>
        <w:jc w:val="both"/>
      </w:pP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Of the incident prevention and response mechanisms (1PRMs)1°, only the Ergneti IPRM met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in </w:t>
      </w:r>
      <w:r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2019. It continued to act as an important forum to defuse tension, particularly in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August/September during the escalation of tension in the breakaway region of South Ossetia.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There were no meetings of the Gali IPRM.</w:t>
      </w:r>
    </w:p>
    <w:p w:rsidR="00A76502" w:rsidRDefault="00F26290">
      <w:pPr>
        <w:spacing w:before="170" w:after="0" w:line="310" w:lineRule="exact"/>
        <w:ind w:left="1814" w:right="1161"/>
        <w:jc w:val="both"/>
      </w:pP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The Government started to implement its 'A- step to a better future' initiative to promote </w:t>
      </w: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peace and opportunities for people in the breakaway regions of South Ossetia and of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Abkhazia, inter alia by creating a fund to support the initiative. EU assistance on skills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development (informal learning, vocational education and training) was further extended to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Abkhazia.</w:t>
      </w:r>
    </w:p>
    <w:p w:rsidR="00A76502" w:rsidRDefault="00A76502">
      <w:pPr>
        <w:spacing w:after="0" w:line="240" w:lineRule="exact"/>
        <w:ind w:left="1838"/>
        <w:rPr>
          <w:sz w:val="24"/>
          <w:szCs w:val="24"/>
        </w:rPr>
      </w:pPr>
    </w:p>
    <w:p w:rsidR="00A76502" w:rsidRDefault="00A76502">
      <w:pPr>
        <w:spacing w:after="0" w:line="240" w:lineRule="exact"/>
        <w:ind w:left="1838"/>
        <w:rPr>
          <w:sz w:val="24"/>
          <w:szCs w:val="24"/>
        </w:rPr>
      </w:pPr>
    </w:p>
    <w:p w:rsidR="00A76502" w:rsidRDefault="00A76502">
      <w:pPr>
        <w:spacing w:after="0" w:line="240" w:lineRule="exact"/>
        <w:ind w:left="1838"/>
        <w:rPr>
          <w:sz w:val="24"/>
          <w:szCs w:val="24"/>
        </w:rPr>
      </w:pPr>
    </w:p>
    <w:p w:rsidR="00A76502" w:rsidRDefault="00A76502">
      <w:pPr>
        <w:spacing w:after="0" w:line="240" w:lineRule="exact"/>
        <w:ind w:left="1838"/>
        <w:rPr>
          <w:sz w:val="24"/>
          <w:szCs w:val="24"/>
        </w:rPr>
      </w:pPr>
    </w:p>
    <w:p w:rsidR="00A76502" w:rsidRDefault="00F26290">
      <w:pPr>
        <w:tabs>
          <w:tab w:val="left" w:pos="2097"/>
        </w:tabs>
        <w:spacing w:before="8" w:after="0" w:line="240" w:lineRule="exact"/>
        <w:ind w:left="1838" w:right="1226"/>
        <w:jc w:val="both"/>
      </w:pPr>
      <w:r>
        <w:rPr>
          <w:rFonts w:ascii="Times New Roman" w:hAnsi="Times New Roman" w:cs="Times New Roman"/>
          <w:color w:val="000000"/>
          <w:w w:val="123"/>
          <w:sz w:val="16"/>
          <w:szCs w:val="16"/>
        </w:rPr>
        <w:t xml:space="preserve">I°  The TPRMs and the EUMM hotline are essential tools for addressing local security issues and proinotin2 </w:t>
      </w:r>
      <w:r>
        <w:br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w w:val="118"/>
          <w:sz w:val="16"/>
          <w:szCs w:val="16"/>
        </w:rPr>
        <w:t>continued confidence-building between security actors.</w:t>
      </w:r>
    </w:p>
    <w:p w:rsidR="00A76502" w:rsidRDefault="00F26290">
      <w:pPr>
        <w:framePr w:w="186" w:wrap="auto" w:vAnchor="page" w:hAnchor="page" w:x="10473" w:y="15257"/>
        <w:spacing w:after="0" w:line="160" w:lineRule="atLeast"/>
      </w:pPr>
      <w:r>
        <w:rPr>
          <w:rFonts w:ascii="Times New Roman" w:hAnsi="Times New Roman" w:cs="Times New Roman"/>
          <w:color w:val="000000"/>
          <w:sz w:val="16"/>
          <w:szCs w:val="16"/>
        </w:rPr>
        <w:t>6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10" w:lineRule="exact"/>
        <w:ind w:left="1948"/>
        <w:rPr>
          <w:sz w:val="24"/>
          <w:szCs w:val="24"/>
        </w:rPr>
      </w:pPr>
    </w:p>
    <w:p w:rsidR="00A76502" w:rsidRDefault="00A76502">
      <w:pPr>
        <w:spacing w:after="0" w:line="310" w:lineRule="exact"/>
        <w:ind w:left="1948"/>
        <w:rPr>
          <w:sz w:val="24"/>
          <w:szCs w:val="24"/>
        </w:rPr>
      </w:pPr>
    </w:p>
    <w:p w:rsidR="00A76502" w:rsidRDefault="00A76502">
      <w:pPr>
        <w:spacing w:after="0" w:line="310" w:lineRule="exact"/>
        <w:ind w:left="1948"/>
        <w:rPr>
          <w:sz w:val="24"/>
          <w:szCs w:val="24"/>
        </w:rPr>
      </w:pPr>
    </w:p>
    <w:p w:rsidR="00A76502" w:rsidRDefault="00F26290">
      <w:pPr>
        <w:spacing w:before="214" w:after="0" w:line="310" w:lineRule="exact"/>
        <w:ind w:left="1948" w:right="1063" w:firstLine="4"/>
        <w:jc w:val="both"/>
      </w:pPr>
      <w:r>
        <w:rPr>
          <w:rFonts w:ascii="Times New Roman" w:hAnsi="Times New Roman" w:cs="Times New Roman"/>
          <w:color w:val="000000"/>
          <w:w w:val="115"/>
        </w:rPr>
        <w:t xml:space="preserve">Georgia continued to cooperate with the </w:t>
      </w:r>
      <w:r>
        <w:rPr>
          <w:rFonts w:ascii="Times New Roman" w:hAnsi="Times New Roman" w:cs="Times New Roman"/>
          <w:b/>
          <w:i/>
          <w:color w:val="000000"/>
          <w:w w:val="115"/>
          <w:sz w:val="20"/>
          <w:szCs w:val="20"/>
        </w:rPr>
        <w:t xml:space="preserve">International Criminal Court </w:t>
      </w:r>
      <w:r>
        <w:rPr>
          <w:rFonts w:ascii="Times New Roman" w:hAnsi="Times New Roman" w:cs="Times New Roman"/>
          <w:color w:val="000000"/>
          <w:w w:val="115"/>
        </w:rPr>
        <w:t xml:space="preserve">on the ongoing </w:t>
      </w:r>
      <w:r>
        <w:rPr>
          <w:rFonts w:ascii="Times New Roman" w:hAnsi="Times New Roman" w:cs="Times New Roman"/>
          <w:color w:val="000000"/>
          <w:w w:val="105"/>
        </w:rPr>
        <w:t xml:space="preserve">investigation into allegations of crimes against humanity and war crimes by all armed forces </w:t>
      </w:r>
      <w:r>
        <w:rPr>
          <w:rFonts w:ascii="Times New Roman" w:hAnsi="Times New Roman" w:cs="Times New Roman"/>
          <w:color w:val="000000"/>
          <w:w w:val="103"/>
        </w:rPr>
        <w:t>deployed in and around South Ossetia between 1 July and 10 October 2008.</w:t>
      </w:r>
    </w:p>
    <w:p w:rsidR="00A76502" w:rsidRDefault="00A76502">
      <w:pPr>
        <w:spacing w:after="0" w:line="230" w:lineRule="exact"/>
        <w:ind w:left="2649"/>
        <w:rPr>
          <w:sz w:val="24"/>
          <w:szCs w:val="24"/>
        </w:rPr>
      </w:pPr>
    </w:p>
    <w:p w:rsidR="00A76502" w:rsidRDefault="00F26290">
      <w:pPr>
        <w:tabs>
          <w:tab w:val="left" w:pos="3336"/>
        </w:tabs>
        <w:spacing w:before="30" w:after="0" w:line="230" w:lineRule="exact"/>
        <w:ind w:left="2649"/>
      </w:pPr>
      <w:r>
        <w:rPr>
          <w:rFonts w:ascii="Times New Roman" w:hAnsi="Times New Roman" w:cs="Times New Roman"/>
          <w:b/>
          <w:color w:val="000000"/>
          <w:w w:val="111"/>
          <w:sz w:val="20"/>
          <w:szCs w:val="20"/>
        </w:rPr>
        <w:t>2.3.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11"/>
          <w:sz w:val="20"/>
          <w:szCs w:val="20"/>
        </w:rPr>
        <w:t>Justice, freedom and security</w:t>
      </w:r>
    </w:p>
    <w:p w:rsidR="00A76502" w:rsidRDefault="00F26290">
      <w:pPr>
        <w:spacing w:before="203" w:after="0" w:line="308" w:lineRule="exact"/>
        <w:ind w:left="1953" w:right="1058" w:firstLine="9"/>
        <w:jc w:val="both"/>
      </w:pPr>
      <w:r>
        <w:rPr>
          <w:rFonts w:ascii="Times New Roman" w:hAnsi="Times New Roman" w:cs="Times New Roman"/>
          <w:color w:val="000000"/>
          <w:w w:val="105"/>
        </w:rPr>
        <w:t xml:space="preserve">Efforts to </w:t>
      </w:r>
      <w:r>
        <w:rPr>
          <w:rFonts w:ascii="Times New Roman" w:hAnsi="Times New Roman" w:cs="Times New Roman"/>
          <w:b/>
          <w:i/>
          <w:color w:val="000000"/>
          <w:w w:val="105"/>
          <w:sz w:val="20"/>
          <w:szCs w:val="20"/>
        </w:rPr>
        <w:t xml:space="preserve">reform the judiciary </w:t>
      </w:r>
      <w:r>
        <w:rPr>
          <w:rFonts w:ascii="Times New Roman" w:hAnsi="Times New Roman" w:cs="Times New Roman"/>
          <w:color w:val="000000"/>
          <w:w w:val="105"/>
        </w:rPr>
        <w:t xml:space="preserve">focused on the appointment of new Supreme Court judges and </w:t>
      </w:r>
      <w:r>
        <w:rPr>
          <w:rFonts w:ascii="Times New Roman" w:hAnsi="Times New Roman" w:cs="Times New Roman"/>
          <w:color w:val="000000"/>
          <w:w w:val="106"/>
        </w:rPr>
        <w:t xml:space="preserve">the formulation of a fourth wave of reforms. In March, Parliament approved amendments to </w:t>
      </w:r>
      <w:r>
        <w:rPr>
          <w:rFonts w:ascii="Times New Roman" w:hAnsi="Times New Roman" w:cs="Times New Roman"/>
          <w:color w:val="000000"/>
          <w:w w:val="107"/>
        </w:rPr>
        <w:t xml:space="preserve">the Law on Common Courts that established the necessary selection criteria, but these only </w:t>
      </w:r>
      <w:r>
        <w:rPr>
          <w:rFonts w:ascii="Times New Roman" w:hAnsi="Times New Roman" w:cs="Times New Roman"/>
          <w:color w:val="000000"/>
          <w:w w:val="106"/>
        </w:rPr>
        <w:t xml:space="preserve">partly reflected Venice Commission recommendations. The shortcomings were exacerbated </w:t>
      </w:r>
      <w:r>
        <w:rPr>
          <w:rFonts w:ascii="Times New Roman" w:hAnsi="Times New Roman" w:cs="Times New Roman"/>
          <w:color w:val="000000"/>
          <w:w w:val="105"/>
        </w:rPr>
        <w:t xml:space="preserve">in the nomination process led by the High Council of Justice (HCoJ), as also reported by the </w:t>
      </w:r>
      <w:r>
        <w:rPr>
          <w:rFonts w:ascii="Times New Roman" w:hAnsi="Times New Roman" w:cs="Times New Roman"/>
          <w:color w:val="000000"/>
          <w:w w:val="106"/>
        </w:rPr>
        <w:t xml:space="preserve">OSCE/ODIHR. On 12 December, Parliament appointed 14 candidates for life tenures to the </w:t>
      </w:r>
      <w:r>
        <w:rPr>
          <w:rFonts w:ascii="Times New Roman" w:hAnsi="Times New Roman" w:cs="Times New Roman"/>
          <w:color w:val="000000"/>
          <w:w w:val="116"/>
        </w:rPr>
        <w:t xml:space="preserve">Supreme Court. The overall process failed to ensure the necessary transparency and </w:t>
      </w:r>
      <w:r>
        <w:rPr>
          <w:rFonts w:ascii="Times New Roman" w:hAnsi="Times New Roman" w:cs="Times New Roman"/>
          <w:color w:val="000000"/>
          <w:spacing w:val="2"/>
        </w:rPr>
        <w:t>meritocracy.</w:t>
      </w:r>
    </w:p>
    <w:p w:rsidR="00A76502" w:rsidRDefault="00F26290">
      <w:pPr>
        <w:spacing w:before="191" w:after="0" w:line="310" w:lineRule="exact"/>
        <w:ind w:left="1958" w:right="1053"/>
        <w:jc w:val="both"/>
      </w:pPr>
      <w:r>
        <w:rPr>
          <w:rFonts w:ascii="Times New Roman" w:hAnsi="Times New Roman" w:cs="Times New Roman"/>
          <w:color w:val="000000"/>
          <w:w w:val="109"/>
        </w:rPr>
        <w:t xml:space="preserve">Amendments relating to the fourth wave of judicial reform were finalised and adopted by Parliament in December. They make important improvements in three areas: disciplinary </w:t>
      </w:r>
      <w:r>
        <w:rPr>
          <w:rFonts w:ascii="Times New Roman" w:hAnsi="Times New Roman" w:cs="Times New Roman"/>
          <w:color w:val="000000"/>
          <w:w w:val="115"/>
        </w:rPr>
        <w:t xml:space="preserve">violations, regulation of the functioning of the HCoJ and HCoJ reform. Of particular </w:t>
      </w:r>
      <w:r>
        <w:rPr>
          <w:rFonts w:ascii="Times New Roman" w:hAnsi="Times New Roman" w:cs="Times New Roman"/>
          <w:color w:val="000000"/>
          <w:w w:val="106"/>
        </w:rPr>
        <w:t xml:space="preserve">importance is the obligation on the HCoJ to justify all its decisions. The Ministry of Justice </w:t>
      </w:r>
      <w:r>
        <w:rPr>
          <w:rFonts w:ascii="Times New Roman" w:hAnsi="Times New Roman" w:cs="Times New Roman"/>
          <w:color w:val="000000"/>
          <w:w w:val="103"/>
        </w:rPr>
        <w:t>has finalised amendments to the Criminal Code, but their adoption is pending.</w:t>
      </w:r>
    </w:p>
    <w:p w:rsidR="00A76502" w:rsidRDefault="00F26290">
      <w:pPr>
        <w:tabs>
          <w:tab w:val="left" w:pos="6475"/>
        </w:tabs>
        <w:spacing w:before="195" w:after="0" w:line="305" w:lineRule="exact"/>
        <w:ind w:left="1958" w:right="1049"/>
        <w:jc w:val="both"/>
      </w:pPr>
      <w:r>
        <w:rPr>
          <w:rFonts w:ascii="Times New Roman" w:hAnsi="Times New Roman" w:cs="Times New Roman"/>
          <w:color w:val="000000"/>
          <w:w w:val="115"/>
        </w:rPr>
        <w:t xml:space="preserve">The main focus of </w:t>
      </w:r>
      <w:r>
        <w:rPr>
          <w:rFonts w:ascii="Times New Roman" w:hAnsi="Times New Roman" w:cs="Times New Roman"/>
          <w:b/>
          <w:i/>
          <w:color w:val="000000"/>
          <w:w w:val="115"/>
          <w:sz w:val="20"/>
          <w:szCs w:val="20"/>
        </w:rPr>
        <w:t xml:space="preserve">prosecutorial reforms </w:t>
      </w:r>
      <w:r>
        <w:rPr>
          <w:rFonts w:ascii="Times New Roman" w:hAnsi="Times New Roman" w:cs="Times New Roman"/>
          <w:color w:val="000000"/>
          <w:w w:val="115"/>
        </w:rPr>
        <w:t xml:space="preserve">in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112"/>
        </w:rPr>
        <w:t xml:space="preserve">2019 has been the separation of functions </w:t>
      </w:r>
      <w:r>
        <w:rPr>
          <w:rFonts w:ascii="Times New Roman" w:hAnsi="Times New Roman" w:cs="Times New Roman"/>
          <w:color w:val="000000"/>
          <w:w w:val="111"/>
        </w:rPr>
        <w:t xml:space="preserve">between investigators and prosecutors, in order to move away from significant previous </w:t>
      </w:r>
      <w:r>
        <w:rPr>
          <w:rFonts w:ascii="Times New Roman" w:hAnsi="Times New Roman" w:cs="Times New Roman"/>
          <w:color w:val="000000"/>
          <w:w w:val="105"/>
        </w:rPr>
        <w:t xml:space="preserve">overlaps on both the legislative and practical level. In March, the Venice Commission issued </w:t>
      </w:r>
      <w:r>
        <w:rPr>
          <w:rFonts w:ascii="Times New Roman" w:hAnsi="Times New Roman" w:cs="Times New Roman"/>
          <w:color w:val="000000"/>
          <w:w w:val="110"/>
        </w:rPr>
        <w:t xml:space="preserve">an opinion that included a number of recommendations for the careful preparation of the </w:t>
      </w:r>
      <w:r>
        <w:rPr>
          <w:rFonts w:ascii="Times New Roman" w:hAnsi="Times New Roman" w:cs="Times New Roman"/>
          <w:color w:val="000000"/>
          <w:w w:val="102"/>
        </w:rPr>
        <w:t>transfer of powers from prosecutors to investigators.</w:t>
      </w:r>
    </w:p>
    <w:p w:rsidR="00A76502" w:rsidRDefault="00F26290">
      <w:pPr>
        <w:spacing w:before="220" w:after="0" w:line="300" w:lineRule="exact"/>
        <w:ind w:left="1963" w:right="1044"/>
        <w:jc w:val="both"/>
      </w:pPr>
      <w:r>
        <w:rPr>
          <w:rFonts w:ascii="Times New Roman" w:hAnsi="Times New Roman" w:cs="Times New Roman"/>
          <w:color w:val="000000"/>
          <w:w w:val="106"/>
        </w:rPr>
        <w:t xml:space="preserve">The Ministry of Justice presented the first comprehensive crime prevention and </w:t>
      </w:r>
      <w:r>
        <w:rPr>
          <w:rFonts w:ascii="Times New Roman" w:hAnsi="Times New Roman" w:cs="Times New Roman"/>
          <w:b/>
          <w:i/>
          <w:color w:val="000000"/>
          <w:w w:val="106"/>
          <w:sz w:val="20"/>
          <w:szCs w:val="20"/>
        </w:rPr>
        <w:t xml:space="preserve">penitentiary </w:t>
      </w:r>
      <w:r>
        <w:rPr>
          <w:rFonts w:ascii="Times New Roman" w:hAnsi="Times New Roman" w:cs="Times New Roman"/>
          <w:color w:val="000000"/>
          <w:w w:val="101"/>
        </w:rPr>
        <w:t>strategy in February.</w:t>
      </w:r>
    </w:p>
    <w:p w:rsidR="00A76502" w:rsidRDefault="00F26290">
      <w:pPr>
        <w:spacing w:before="192" w:after="0" w:line="310" w:lineRule="exact"/>
        <w:ind w:left="1963" w:right="1044" w:firstLine="4"/>
        <w:jc w:val="both"/>
      </w:pPr>
      <w:r>
        <w:rPr>
          <w:rFonts w:ascii="Times New Roman" w:hAnsi="Times New Roman" w:cs="Times New Roman"/>
          <w:color w:val="000000"/>
          <w:w w:val="114"/>
        </w:rPr>
        <w:t xml:space="preserve">On </w:t>
      </w:r>
      <w:r>
        <w:rPr>
          <w:rFonts w:ascii="Times New Roman" w:hAnsi="Times New Roman" w:cs="Times New Roman"/>
          <w:b/>
          <w:i/>
          <w:color w:val="000000"/>
          <w:w w:val="114"/>
          <w:sz w:val="20"/>
          <w:szCs w:val="20"/>
        </w:rPr>
        <w:t xml:space="preserve">legal cooperation in civil and criminal matters, </w:t>
      </w:r>
      <w:r>
        <w:rPr>
          <w:rFonts w:ascii="Times New Roman" w:hAnsi="Times New Roman" w:cs="Times New Roman"/>
          <w:color w:val="000000"/>
          <w:w w:val="114"/>
        </w:rPr>
        <w:t>the entry into force of the Eurojust-</w:t>
      </w:r>
      <w:r>
        <w:br/>
      </w:r>
      <w:r>
        <w:rPr>
          <w:rFonts w:ascii="Times New Roman" w:hAnsi="Times New Roman" w:cs="Times New Roman"/>
          <w:color w:val="000000"/>
          <w:w w:val="103"/>
        </w:rPr>
        <w:t xml:space="preserve">Georgia cooperation agreement in July will enable the swift and safe exchange of information </w:t>
      </w:r>
      <w:r>
        <w:rPr>
          <w:rFonts w:ascii="Times New Roman" w:hAnsi="Times New Roman" w:cs="Times New Roman"/>
          <w:color w:val="000000"/>
          <w:w w:val="111"/>
        </w:rPr>
        <w:t xml:space="preserve">and evidence. Georgia has strengthened international law enforcement cooperation with </w:t>
      </w:r>
      <w:r>
        <w:rPr>
          <w:rFonts w:ascii="Times New Roman" w:hAnsi="Times New Roman" w:cs="Times New Roman"/>
          <w:color w:val="000000"/>
          <w:w w:val="104"/>
        </w:rPr>
        <w:t>Europol as well as the network of Georgian police attaches in the EU Member States in order to expand cooperation to combat serious and organised cross-border criminal activities.</w:t>
      </w:r>
    </w:p>
    <w:p w:rsidR="00A76502" w:rsidRPr="007E0C90" w:rsidRDefault="00F26290">
      <w:pPr>
        <w:spacing w:before="192" w:after="0" w:line="308" w:lineRule="exact"/>
        <w:ind w:left="1968" w:right="1039" w:firstLine="4"/>
        <w:jc w:val="both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107"/>
          <w:highlight w:val="yellow"/>
        </w:rPr>
        <w:t xml:space="preserve">On </w:t>
      </w:r>
      <w:r w:rsidRPr="007E0C90">
        <w:rPr>
          <w:rFonts w:ascii="Times New Roman" w:hAnsi="Times New Roman" w:cs="Times New Roman"/>
          <w:b/>
          <w:i/>
          <w:color w:val="000000"/>
          <w:w w:val="107"/>
          <w:sz w:val="20"/>
          <w:szCs w:val="20"/>
          <w:highlight w:val="yellow"/>
        </w:rPr>
        <w:t xml:space="preserve">preventing and fighting corruption, </w:t>
      </w:r>
      <w:r w:rsidRPr="007E0C90">
        <w:rPr>
          <w:rFonts w:ascii="Times New Roman" w:hAnsi="Times New Roman" w:cs="Times New Roman"/>
          <w:color w:val="000000"/>
          <w:w w:val="107"/>
          <w:highlight w:val="yellow"/>
        </w:rPr>
        <w:t xml:space="preserve">Georgia continued implementing the anti-corruption </w:t>
      </w:r>
      <w:r w:rsidRPr="007E0C90">
        <w:rPr>
          <w:rFonts w:ascii="Times New Roman" w:hAnsi="Times New Roman" w:cs="Times New Roman"/>
          <w:color w:val="000000"/>
          <w:w w:val="110"/>
          <w:highlight w:val="yellow"/>
        </w:rPr>
        <w:t>strategy and action plan, in line with assdciation agenda commitments. In July, the Anti-</w:t>
      </w:r>
      <w:r w:rsidRPr="007E0C90">
        <w:rPr>
          <w:highlight w:val="yellow"/>
        </w:rPr>
        <w:br/>
      </w:r>
      <w:r w:rsidRPr="007E0C90">
        <w:rPr>
          <w:rFonts w:ascii="Times New Roman" w:hAnsi="Times New Roman" w:cs="Times New Roman"/>
          <w:color w:val="000000"/>
          <w:w w:val="105"/>
          <w:highlight w:val="yellow"/>
        </w:rPr>
        <w:t xml:space="preserve">Corruption Council adopted a new anti-corruption strategy and action plan for 2019-2020 in </w:t>
      </w:r>
      <w:r w:rsidRPr="007E0C90">
        <w:rPr>
          <w:rFonts w:ascii="Times New Roman" w:hAnsi="Times New Roman" w:cs="Times New Roman"/>
          <w:color w:val="000000"/>
          <w:w w:val="113"/>
          <w:highlight w:val="yellow"/>
        </w:rPr>
        <w:t xml:space="preserve">July. The results are reflected in international ratings, </w:t>
      </w:r>
      <w:r w:rsidRPr="007E0C90">
        <w:rPr>
          <w:rFonts w:ascii="Times New Roman" w:hAnsi="Times New Roman" w:cs="Times New Roman"/>
          <w:b/>
          <w:color w:val="000000"/>
          <w:w w:val="113"/>
          <w:sz w:val="20"/>
          <w:szCs w:val="20"/>
          <w:highlight w:val="yellow"/>
        </w:rPr>
        <w:t xml:space="preserve">but </w:t>
      </w:r>
      <w:r w:rsidRPr="007E0C90">
        <w:rPr>
          <w:rFonts w:ascii="Times New Roman" w:hAnsi="Times New Roman" w:cs="Times New Roman"/>
          <w:color w:val="000000"/>
          <w:w w:val="113"/>
          <w:highlight w:val="yellow"/>
        </w:rPr>
        <w:t xml:space="preserve">some concerns of high-level </w:t>
      </w:r>
      <w:r w:rsidRPr="007E0C90">
        <w:rPr>
          <w:rFonts w:ascii="Times New Roman" w:hAnsi="Times New Roman" w:cs="Times New Roman"/>
          <w:color w:val="000000"/>
          <w:w w:val="112"/>
          <w:highlight w:val="yellow"/>
        </w:rPr>
        <w:t xml:space="preserve">corruption persist". In the </w:t>
      </w:r>
      <w:r w:rsidRPr="007E0C90">
        <w:rPr>
          <w:rFonts w:ascii="Times New Roman" w:hAnsi="Times New Roman" w:cs="Times New Roman"/>
          <w:color w:val="000000"/>
          <w:w w:val="108"/>
          <w:highlight w:val="yellow"/>
        </w:rPr>
        <w:t xml:space="preserve">2018 Transparency International corruption perception index, </w:t>
      </w:r>
      <w:r w:rsidRPr="007E0C90">
        <w:rPr>
          <w:rFonts w:ascii="Times New Roman" w:hAnsi="Times New Roman" w:cs="Times New Roman"/>
          <w:color w:val="000000"/>
          <w:w w:val="104"/>
          <w:highlight w:val="yellow"/>
        </w:rPr>
        <w:t xml:space="preserve">Georgia scored </w:t>
      </w:r>
      <w:r w:rsidRPr="007E0C90">
        <w:rPr>
          <w:rFonts w:ascii="Times New Roman" w:hAnsi="Times New Roman" w:cs="Times New Roman"/>
          <w:color w:val="000000"/>
          <w:spacing w:val="2"/>
          <w:highlight w:val="yellow"/>
        </w:rPr>
        <w:t xml:space="preserve">58/100 </w:t>
      </w:r>
      <w:r w:rsidRPr="007E0C90">
        <w:rPr>
          <w:rFonts w:ascii="Times New Roman" w:hAnsi="Times New Roman" w:cs="Times New Roman"/>
          <w:color w:val="000000"/>
          <w:w w:val="106"/>
          <w:highlight w:val="yellow"/>
        </w:rPr>
        <w:t xml:space="preserve">(up from 56/100 in </w:t>
      </w:r>
      <w:r w:rsidRPr="007E0C90">
        <w:rPr>
          <w:rFonts w:ascii="Times New Roman" w:hAnsi="Times New Roman" w:cs="Times New Roman"/>
          <w:color w:val="000000"/>
          <w:w w:val="110"/>
          <w:highlight w:val="yellow"/>
        </w:rPr>
        <w:t xml:space="preserve">2017). Its World Bank control of corruption </w:t>
      </w:r>
      <w:r w:rsidRPr="007E0C90">
        <w:rPr>
          <w:rFonts w:ascii="Times New Roman" w:hAnsi="Times New Roman" w:cs="Times New Roman"/>
          <w:color w:val="000000"/>
          <w:w w:val="105"/>
          <w:highlight w:val="yellow"/>
        </w:rPr>
        <w:t xml:space="preserve">indicator also improved, reaching 77/100 in 2017 (74 in 2016). Asset declarations submitted </w:t>
      </w:r>
      <w:r w:rsidRPr="007E0C90">
        <w:rPr>
          <w:rFonts w:ascii="Times New Roman" w:hAnsi="Times New Roman" w:cs="Times New Roman"/>
          <w:color w:val="000000"/>
          <w:w w:val="113"/>
          <w:highlight w:val="yellow"/>
        </w:rPr>
        <w:t xml:space="preserve">by public officials have been monitored since </w:t>
      </w:r>
      <w:r w:rsidRPr="007E0C90">
        <w:rPr>
          <w:rFonts w:ascii="Times New Roman" w:hAnsi="Times New Roman" w:cs="Times New Roman"/>
          <w:color w:val="000000"/>
          <w:w w:val="101"/>
          <w:highlight w:val="yellow"/>
        </w:rPr>
        <w:t xml:space="preserve">2017 </w:t>
      </w:r>
      <w:r w:rsidRPr="007E0C90">
        <w:rPr>
          <w:rFonts w:ascii="Times New Roman" w:hAnsi="Times New Roman" w:cs="Times New Roman"/>
          <w:color w:val="000000"/>
          <w:w w:val="114"/>
          <w:highlight w:val="yellow"/>
        </w:rPr>
        <w:t xml:space="preserve">(the law requires that </w:t>
      </w:r>
      <w:r w:rsidRPr="007E0C90">
        <w:rPr>
          <w:rFonts w:ascii="Times New Roman" w:hAnsi="Times New Roman" w:cs="Times New Roman"/>
          <w:color w:val="000000"/>
          <w:w w:val="117"/>
          <w:highlight w:val="yellow"/>
        </w:rPr>
        <w:t>5% of all</w:t>
      </w:r>
    </w:p>
    <w:p w:rsidR="00A76502" w:rsidRPr="007E0C90" w:rsidRDefault="00A76502">
      <w:pPr>
        <w:spacing w:after="0" w:line="184" w:lineRule="exact"/>
        <w:ind w:left="1987"/>
        <w:rPr>
          <w:sz w:val="24"/>
          <w:szCs w:val="24"/>
          <w:highlight w:val="yellow"/>
        </w:rPr>
      </w:pPr>
    </w:p>
    <w:p w:rsidR="00A76502" w:rsidRPr="007E0C90" w:rsidRDefault="00A76502">
      <w:pPr>
        <w:spacing w:after="0" w:line="184" w:lineRule="exact"/>
        <w:ind w:left="1987"/>
        <w:rPr>
          <w:sz w:val="24"/>
          <w:szCs w:val="24"/>
          <w:highlight w:val="yellow"/>
        </w:rPr>
      </w:pPr>
    </w:p>
    <w:p w:rsidR="00A76502" w:rsidRPr="007E0C90" w:rsidRDefault="00F26290">
      <w:pPr>
        <w:tabs>
          <w:tab w:val="left" w:pos="2246"/>
        </w:tabs>
        <w:spacing w:before="47" w:after="0" w:line="184" w:lineRule="exact"/>
        <w:ind w:left="1987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51"/>
          <w:sz w:val="16"/>
          <w:szCs w:val="16"/>
          <w:highlight w:val="yellow"/>
        </w:rPr>
        <w:t xml:space="preserve">11 </w:t>
      </w:r>
      <w:r w:rsidRPr="007E0C90">
        <w:rPr>
          <w:rFonts w:ascii="Times New Roman" w:hAnsi="Times New Roman" w:cs="Times New Roman"/>
          <w:color w:val="000000"/>
          <w:sz w:val="16"/>
          <w:szCs w:val="16"/>
          <w:highlight w:val="yellow"/>
        </w:rPr>
        <w:tab/>
      </w:r>
      <w:r w:rsidRPr="007E0C90">
        <w:rPr>
          <w:rFonts w:ascii="Times New Roman" w:hAnsi="Times New Roman" w:cs="Times New Roman"/>
          <w:color w:val="000000"/>
          <w:w w:val="119"/>
          <w:sz w:val="16"/>
          <w:szCs w:val="16"/>
          <w:highlight w:val="yellow"/>
        </w:rPr>
        <w:t>Georgian CSOs' address to the international community in September 2019 on eventual state capture:</w:t>
      </w:r>
    </w:p>
    <w:p w:rsidR="00A76502" w:rsidRPr="007E0C90" w:rsidRDefault="00830553">
      <w:pPr>
        <w:spacing w:before="30" w:after="0" w:line="192" w:lineRule="exact"/>
        <w:ind w:left="2256"/>
        <w:rPr>
          <w:highlight w:val="yellow"/>
        </w:rPr>
      </w:pPr>
      <w:hyperlink r:id="rId7" w:history="1">
        <w:r w:rsidR="00F26290" w:rsidRPr="007E0C90">
          <w:rPr>
            <w:rFonts w:ascii="Times New Roman" w:hAnsi="Times New Roman" w:cs="Times New Roman"/>
            <w:color w:val="000000"/>
            <w:w w:val="122"/>
            <w:sz w:val="16"/>
            <w:szCs w:val="16"/>
            <w:highlight w:val="yellow"/>
          </w:rPr>
          <w:t>https://idfi.ge/en/georgian_civil_society_organization_addresstothe_international_community</w:t>
        </w:r>
      </w:hyperlink>
    </w:p>
    <w:p w:rsidR="00A76502" w:rsidRPr="007E0C90" w:rsidRDefault="00F26290">
      <w:pPr>
        <w:framePr w:w="195" w:wrap="auto" w:vAnchor="page" w:hAnchor="page" w:x="10593" w:y="15228"/>
        <w:spacing w:after="0" w:line="160" w:lineRule="atLeast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sz w:val="16"/>
          <w:szCs w:val="16"/>
          <w:highlight w:val="yellow"/>
        </w:rPr>
        <w:t>7</w:t>
      </w:r>
    </w:p>
    <w:p w:rsidR="00A76502" w:rsidRPr="007E0C90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7E0C90">
          <w:pgSz w:w="11900" w:h="15500"/>
          <w:pgMar w:top="-20" w:right="0" w:bottom="-20" w:left="0" w:header="0" w:footer="0" w:gutter="0"/>
          <w:cols w:space="720"/>
        </w:sectPr>
      </w:pPr>
    </w:p>
    <w:p w:rsidR="00A76502" w:rsidRPr="007E0C90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7E0C90" w:rsidRDefault="00A76502">
      <w:pPr>
        <w:spacing w:after="0" w:line="310" w:lineRule="exact"/>
        <w:ind w:left="1929"/>
        <w:rPr>
          <w:sz w:val="24"/>
          <w:szCs w:val="24"/>
          <w:highlight w:val="yellow"/>
        </w:rPr>
      </w:pPr>
    </w:p>
    <w:p w:rsidR="00A76502" w:rsidRPr="007E0C90" w:rsidRDefault="00A76502">
      <w:pPr>
        <w:spacing w:after="0" w:line="310" w:lineRule="exact"/>
        <w:ind w:left="1929"/>
        <w:rPr>
          <w:sz w:val="24"/>
          <w:szCs w:val="24"/>
          <w:highlight w:val="yellow"/>
        </w:rPr>
      </w:pPr>
    </w:p>
    <w:p w:rsidR="00A76502" w:rsidRPr="007E0C90" w:rsidRDefault="00A76502">
      <w:pPr>
        <w:spacing w:after="0" w:line="310" w:lineRule="exact"/>
        <w:ind w:left="1929"/>
        <w:rPr>
          <w:sz w:val="24"/>
          <w:szCs w:val="24"/>
          <w:highlight w:val="yellow"/>
        </w:rPr>
      </w:pPr>
    </w:p>
    <w:p w:rsidR="00A76502" w:rsidRDefault="00F26290">
      <w:pPr>
        <w:spacing w:before="234" w:after="0" w:line="310" w:lineRule="exact"/>
        <w:ind w:left="1929" w:right="1051"/>
        <w:jc w:val="both"/>
      </w:pP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declarations be checked). In the first half of 2019. the Prosecutor's Office and the Ministry of </w:t>
      </w:r>
      <w:r w:rsidRPr="007E0C90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Internal Affairs registered </w:t>
      </w:r>
      <w:r w:rsidRPr="007E0C90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365 cases of official misconduct, of which only </w:t>
      </w:r>
      <w:r w:rsidRPr="007E0C90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3.8% were </w:t>
      </w:r>
      <w:r w:rsidRPr="007E0C90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resolved (GEOSTAT crime statistics).</w:t>
      </w:r>
    </w:p>
    <w:p w:rsidR="00A76502" w:rsidRDefault="00F26290">
      <w:pPr>
        <w:spacing w:before="214" w:after="0" w:line="306" w:lineRule="exact"/>
        <w:ind w:left="1929" w:right="1075" w:firstLine="14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In May, the Inter-Agency Coordinating Council on Drug Abuse adopted a strategy against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drug use, which includes the establishment of a national monitoring centre. A legislative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package for the liberalisation of drug policies is still pending in Parliament for further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deliberation.</w:t>
      </w:r>
    </w:p>
    <w:p w:rsidR="00A76502" w:rsidRDefault="00F26290">
      <w:pPr>
        <w:spacing w:before="189" w:after="0" w:line="313" w:lineRule="exact"/>
        <w:ind w:left="1929" w:right="1075" w:firstLine="9"/>
        <w:jc w:val="both"/>
      </w:pP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On 2 August. the Constitutional Court declared that it was unconstitutional to impose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administrative detention and criminal imprisonment for the production, purchase and storage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of drugs that are for private use and do not lead to fast addiction and/or aggressive behaviour, on the basis that such activity does not pose a threat to public order or security.</w:t>
      </w:r>
    </w:p>
    <w:p w:rsidR="00A76502" w:rsidRDefault="00F26290">
      <w:pPr>
        <w:spacing w:before="193" w:after="0" w:line="306" w:lineRule="exact"/>
        <w:ind w:left="1929" w:right="1065"/>
        <w:jc w:val="both"/>
      </w:pPr>
      <w:r w:rsidRPr="007E0C90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Georgia  continued  to  implement  its </w:t>
      </w:r>
      <w:r w:rsidRPr="007E0C90">
        <w:rPr>
          <w:rFonts w:ascii="Times New Roman" w:hAnsi="Times New Roman" w:cs="Times New Roman"/>
          <w:b/>
          <w:i/>
          <w:color w:val="000000"/>
          <w:w w:val="120"/>
          <w:sz w:val="20"/>
          <w:szCs w:val="20"/>
          <w:highlight w:val="yellow"/>
        </w:rPr>
        <w:t xml:space="preserve"> migration </w:t>
      </w:r>
      <w:r w:rsidRPr="007E0C90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 strategy  and  action  plan  and  started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discussions on the strategy and action plan beyond 2020. It finalised its migration profile for </w:t>
      </w:r>
      <w:r w:rsidRPr="007E0C90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2019 and made further progress on its unified migration analytical system, which is partly </w:t>
      </w:r>
      <w:r w:rsidRPr="007E0C90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operational.</w:t>
      </w:r>
    </w:p>
    <w:p w:rsidR="00A76502" w:rsidRDefault="00F26290">
      <w:pPr>
        <w:tabs>
          <w:tab w:val="left" w:pos="6417"/>
        </w:tabs>
        <w:spacing w:before="191" w:after="0" w:line="310" w:lineRule="exact"/>
        <w:ind w:left="1929" w:right="1046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The visa-free regime is in place since March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2017. The first and second Visa Suspension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Mechanism Report identified a constant increase of asylum applications. The number of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unfounded asylum requests made by Georgian nationals in EU/Schengen countries increased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in 2019. Despite a dip in the summer, the overall number of asylum applications was higher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than in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2018, ranking Georgian nationals amongst top nationals requesting international </w:t>
      </w:r>
      <w:r>
        <w:rPr>
          <w:rFonts w:ascii="Times New Roman" w:hAnsi="Times New Roman" w:cs="Times New Roman"/>
          <w:color w:val="000000"/>
          <w:w w:val="126"/>
          <w:sz w:val="20"/>
          <w:szCs w:val="20"/>
        </w:rPr>
        <w:t xml:space="preserve">protection in the EU. Georgia has continued to pro-actively address the challenge of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increased asylum applications. In view of this, the Commission, the Justice and Home Affairs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Agencies, the EU Member States and the Georgian authorities work together on a set of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operational measures to decrease irregular migration and crime-related challenges linked to the visa-free travel of Georgian citizens to the EU, in line with the recommendations of the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visa suspension mechanism report. Georgia adopted in April amendments to the Criminal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Code, which foresees the criminalisation of the facilitation of illegal stay of Georgian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nationals abroad</w:t>
      </w:r>
    </w:p>
    <w:p w:rsidR="00A76502" w:rsidRDefault="00F26290">
      <w:pPr>
        <w:spacing w:before="192" w:after="0" w:line="308" w:lineRule="exact"/>
        <w:ind w:left="1924" w:right="1046" w:firstLine="4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Georgia maintained its efforts to strengthen </w:t>
      </w:r>
      <w:r>
        <w:rPr>
          <w:rFonts w:ascii="Times New Roman" w:hAnsi="Times New Roman" w:cs="Times New Roman"/>
          <w:b/>
          <w:i/>
          <w:color w:val="000000"/>
          <w:w w:val="119"/>
          <w:sz w:val="20"/>
          <w:szCs w:val="20"/>
        </w:rPr>
        <w:t xml:space="preserve">border management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stepping up cooperation with the European Border and Coast Guard Agency. "Joint Operation Coordination Points </w:t>
      </w:r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 xml:space="preserve">2019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Air and Joint Operation Focal Points 2019 Air" were launched in the beginning of 201 9 </w:t>
      </w: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to address irregular migration and to improve pre-departure checks. The security and 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surveillance infrastructure of the Border Police was further expanded. The capacities of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training institutions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(academies of the Ministry of Internal Affairs and Ministry of Finance)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>were strengthened, and the training curricula upgraded. There was extensive capacity-</w:t>
      </w:r>
      <w:r>
        <w:br/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building for border management staff.</w:t>
      </w:r>
    </w:p>
    <w:p w:rsidR="00A76502" w:rsidRDefault="00F26290">
      <w:pPr>
        <w:spacing w:before="191" w:after="0" w:line="310" w:lineRule="exact"/>
        <w:ind w:left="1924" w:right="1046"/>
        <w:jc w:val="both"/>
      </w:pPr>
      <w:r>
        <w:rPr>
          <w:rFonts w:ascii="Times New Roman" w:hAnsi="Times New Roman" w:cs="Times New Roman"/>
          <w:b/>
          <w:i/>
          <w:color w:val="000000"/>
          <w:w w:val="118"/>
          <w:sz w:val="20"/>
          <w:szCs w:val="20"/>
        </w:rPr>
        <w:t xml:space="preserve">Police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>reform continued in line with priorities set out by the Minister of Internal Affairs in early 2019, including: separation of roles between prosecutors and investigators, as well as between operational and investigative functions of different police officers, expansion of</w:t>
      </w:r>
    </w:p>
    <w:p w:rsidR="00A76502" w:rsidRDefault="00F26290">
      <w:pPr>
        <w:framePr w:w="195" w:wrap="auto" w:vAnchor="page" w:hAnchor="page" w:x="10579" w:y="15246"/>
        <w:spacing w:after="0" w:line="200" w:lineRule="atLeast"/>
      </w:pPr>
      <w:r>
        <w:rPr>
          <w:rFonts w:ascii="Times New Roman" w:hAnsi="Times New Roman" w:cs="Times New Roman"/>
          <w:b/>
          <w:color w:val="000000"/>
          <w:w w:val="87"/>
          <w:sz w:val="20"/>
          <w:szCs w:val="20"/>
        </w:rPr>
        <w:t>8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00" w:lineRule="exact"/>
        <w:ind w:left="1958"/>
        <w:rPr>
          <w:sz w:val="24"/>
          <w:szCs w:val="24"/>
        </w:rPr>
      </w:pPr>
    </w:p>
    <w:p w:rsidR="00A76502" w:rsidRDefault="00A76502">
      <w:pPr>
        <w:spacing w:after="0" w:line="300" w:lineRule="exact"/>
        <w:ind w:left="1958"/>
        <w:rPr>
          <w:sz w:val="24"/>
          <w:szCs w:val="24"/>
        </w:rPr>
      </w:pPr>
    </w:p>
    <w:p w:rsidR="00A76502" w:rsidRDefault="00A76502">
      <w:pPr>
        <w:spacing w:after="0" w:line="300" w:lineRule="exact"/>
        <w:ind w:left="1958"/>
        <w:rPr>
          <w:sz w:val="24"/>
          <w:szCs w:val="24"/>
        </w:rPr>
      </w:pPr>
    </w:p>
    <w:p w:rsidR="00A76502" w:rsidRDefault="00F26290">
      <w:pPr>
        <w:spacing w:before="273" w:after="0" w:line="300" w:lineRule="exact"/>
        <w:ind w:left="1958" w:right="1079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community-based  and  intelligence-led  policing,  enhancing centralised analytical work,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stepping up the fight against cybercrime, and closer international cooperation.</w:t>
      </w:r>
    </w:p>
    <w:p w:rsidR="00A76502" w:rsidRDefault="00F26290">
      <w:pPr>
        <w:spacing w:before="196" w:after="0" w:line="306" w:lineRule="exact"/>
        <w:ind w:left="1929" w:right="1065" w:firstLine="28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A rise in complaints to the data protection authority shows greater public awareness of </w:t>
      </w:r>
      <w:r>
        <w:rPr>
          <w:rFonts w:ascii="Times New Roman" w:hAnsi="Times New Roman" w:cs="Times New Roman"/>
          <w:b/>
          <w:i/>
          <w:color w:val="000000"/>
          <w:w w:val="117"/>
          <w:sz w:val="20"/>
          <w:szCs w:val="20"/>
        </w:rPr>
        <w:t xml:space="preserve">data protection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issues. The Personal Data Protection Inspectorate was merged into the new State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Inspectorate in May. While the number of covert investigative activities has increased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significantly, they are mostly carried out on the basis of a court ruling.</w:t>
      </w:r>
    </w:p>
    <w:p w:rsidR="00A76502" w:rsidRDefault="00A76502">
      <w:pPr>
        <w:spacing w:after="0" w:line="230" w:lineRule="exact"/>
        <w:ind w:left="1953"/>
        <w:rPr>
          <w:sz w:val="24"/>
          <w:szCs w:val="24"/>
        </w:rPr>
      </w:pPr>
    </w:p>
    <w:p w:rsidR="00A76502" w:rsidRPr="00C10B77" w:rsidRDefault="00F26290">
      <w:pPr>
        <w:tabs>
          <w:tab w:val="left" w:pos="2649"/>
        </w:tabs>
        <w:spacing w:before="43" w:after="0" w:line="230" w:lineRule="exact"/>
        <w:ind w:left="1953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3.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b/>
          <w:color w:val="000000"/>
          <w:w w:val="111"/>
          <w:sz w:val="20"/>
          <w:szCs w:val="20"/>
          <w:highlight w:val="yellow"/>
        </w:rPr>
        <w:t>Economic development and market opportunities</w:t>
      </w:r>
    </w:p>
    <w:p w:rsidR="00A76502" w:rsidRPr="00C10B77" w:rsidRDefault="00A76502">
      <w:pPr>
        <w:spacing w:after="0" w:line="230" w:lineRule="exact"/>
        <w:ind w:left="1953"/>
        <w:rPr>
          <w:sz w:val="24"/>
          <w:szCs w:val="24"/>
          <w:highlight w:val="yellow"/>
        </w:rPr>
      </w:pPr>
    </w:p>
    <w:p w:rsidR="00A76502" w:rsidRDefault="00F26290">
      <w:pPr>
        <w:tabs>
          <w:tab w:val="left" w:pos="3350"/>
        </w:tabs>
        <w:spacing w:before="40" w:after="0" w:line="230" w:lineRule="exact"/>
        <w:ind w:left="1953" w:firstLine="695"/>
      </w:pPr>
      <w:r w:rsidRPr="00C10B77">
        <w:rPr>
          <w:rFonts w:ascii="Times New Roman" w:hAnsi="Times New Roman" w:cs="Times New Roman"/>
          <w:b/>
          <w:color w:val="000000"/>
          <w:w w:val="111"/>
          <w:sz w:val="20"/>
          <w:szCs w:val="20"/>
          <w:highlight w:val="yellow"/>
        </w:rPr>
        <w:t>3.1.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b/>
          <w:color w:val="000000"/>
          <w:w w:val="111"/>
          <w:sz w:val="20"/>
          <w:szCs w:val="20"/>
          <w:highlight w:val="yellow"/>
        </w:rPr>
        <w:t>Economic development</w:t>
      </w:r>
    </w:p>
    <w:p w:rsidR="00A76502" w:rsidRPr="00C10B77" w:rsidRDefault="00F26290">
      <w:pPr>
        <w:spacing w:before="188" w:after="0" w:line="310" w:lineRule="exact"/>
        <w:ind w:left="1958" w:right="1036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The </w:t>
      </w:r>
      <w:r w:rsidRPr="00C10B77">
        <w:rPr>
          <w:rFonts w:ascii="Times New Roman" w:hAnsi="Times New Roman" w:cs="Times New Roman"/>
          <w:b/>
          <w:i/>
          <w:color w:val="000000"/>
          <w:w w:val="122"/>
          <w:sz w:val="20"/>
          <w:szCs w:val="20"/>
          <w:highlight w:val="yellow"/>
        </w:rPr>
        <w:t xml:space="preserve">macroeconomic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outlook remains stable, with some downward risks. The economy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continued to grow (by more than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5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% year-on-year in the first ten months of 2019), but remains  vulnerable  to  domestic  political  risks  and  spill-over  effects  from  external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developments, including geopolitical and global trade tensions, the economic performance of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key trade partners (e.g. Turkey) and financial market volatility.</w:t>
      </w:r>
    </w:p>
    <w:p w:rsidR="00A76502" w:rsidRPr="00C10B77" w:rsidRDefault="00F26290">
      <w:pPr>
        <w:tabs>
          <w:tab w:val="left" w:pos="5327"/>
        </w:tabs>
        <w:spacing w:before="190" w:after="0" w:line="310" w:lineRule="exact"/>
        <w:ind w:left="1968" w:right="1031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Inflation gradually accelerated, to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7% in November 2019 (above the 3% target). Due to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higher headline inflation and inflationary expectations, the National Bank of Georgia (NBG)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raised the refinancing rate from 6.5% in August and 9% in December. In 2019 the Georgian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lari (GEL) faced depreciation in the first half of 2019 and remained volatile in the second half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of the year, losing altogether 5% of its value against the euro and 9% against the US dollar, </w:t>
      </w:r>
      <w:r w:rsidRPr="00C10B77">
        <w:rPr>
          <w:rFonts w:ascii="Times New Roman" w:hAnsi="Times New Roman" w:cs="Times New Roman"/>
          <w:color w:val="000000"/>
          <w:w w:val="107"/>
          <w:sz w:val="20"/>
          <w:szCs w:val="20"/>
          <w:highlight w:val="yellow"/>
        </w:rPr>
        <w:t xml:space="preserve">losing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10% of its value. This exchange rate volatility, coupled with the still-high rate of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dollarisation (62% of deposits and 56% of loans were denominated in foreign currency) and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external debt (109% of GDP), makes Georgia's financial sector vulnerable to exchange rate </w:t>
      </w:r>
      <w:r w:rsidRPr="00C10B77">
        <w:rPr>
          <w:rFonts w:ascii="Times New Roman" w:hAnsi="Times New Roman" w:cs="Times New Roman"/>
          <w:color w:val="000000"/>
          <w:w w:val="105"/>
          <w:sz w:val="20"/>
          <w:szCs w:val="20"/>
          <w:highlight w:val="yellow"/>
        </w:rPr>
        <w:t>risk.</w:t>
      </w:r>
    </w:p>
    <w:p w:rsidR="00A76502" w:rsidRPr="00C10B77" w:rsidRDefault="00F26290">
      <w:pPr>
        <w:spacing w:before="170" w:after="0" w:line="310" w:lineRule="exact"/>
        <w:ind w:left="1968" w:right="1060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The authorities are seeking to reduce the fiscal deficit to 2.6% of GDP (from 2.9% in 2019),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with the expectation that the spending mix will change to reflect new priorities, including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implementation of education reform and a rise in capital spending.</w:t>
      </w:r>
    </w:p>
    <w:p w:rsidR="00A76502" w:rsidRPr="00C10B77" w:rsidRDefault="00F26290">
      <w:pPr>
        <w:spacing w:before="210" w:after="0" w:line="310" w:lineRule="exact"/>
        <w:ind w:left="1968" w:right="1035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Georgia's balance-of-payments position remains vulnerable, due to a relatively large current account deficit (despite a decline to 4.6% of GDP in the first half of 2019) and high external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debt. Inflows of foreign direct investment declined in the first half of 2019, to around 6% of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GDP.  mainly  due  to  the  completion  of some  large  investment  projects.  Georgia's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international reserves have slightly increased in the course of the year, to USD 3.3 billion at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end November (over 4 months of imports),'but are still below the level suggested as adequate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by the International Monetary Fund (IMF).</w:t>
      </w:r>
    </w:p>
    <w:p w:rsidR="00A76502" w:rsidRPr="00C10B77" w:rsidRDefault="00F26290">
      <w:pPr>
        <w:spacing w:before="162" w:after="0" w:line="320" w:lineRule="exact"/>
        <w:ind w:left="1972" w:right="1060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Georgia's  structural  reform  agenda,  as  supported  by  the </w:t>
      </w:r>
      <w:r w:rsidRPr="00C10B77">
        <w:rPr>
          <w:rFonts w:ascii="Times New Roman" w:hAnsi="Times New Roman" w:cs="Times New Roman"/>
          <w:b/>
          <w:color w:val="000000"/>
          <w:w w:val="122"/>
          <w:sz w:val="20"/>
          <w:szCs w:val="20"/>
          <w:highlight w:val="yellow"/>
        </w:rPr>
        <w:t xml:space="preserve"> IMF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 programme  and  the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conditionality of the EU's macro-financial assistance, focuses on improving the business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environment, education and public administration, and investing in infrastructure.</w:t>
      </w:r>
    </w:p>
    <w:p w:rsidR="00A76502" w:rsidRPr="00C10B77" w:rsidRDefault="00F26290">
      <w:pPr>
        <w:spacing w:before="169" w:after="0" w:line="310" w:lineRule="exact"/>
        <w:ind w:left="1972" w:right="1060" w:firstLine="1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Disbursement of the second tranche of EU </w:t>
      </w:r>
      <w:r w:rsidRPr="00C10B77">
        <w:rPr>
          <w:rFonts w:ascii="Times New Roman" w:hAnsi="Times New Roman" w:cs="Times New Roman"/>
          <w:b/>
          <w:i/>
          <w:color w:val="000000"/>
          <w:w w:val="113"/>
          <w:sz w:val="20"/>
          <w:szCs w:val="20"/>
          <w:highlight w:val="yellow"/>
        </w:rPr>
        <w:t xml:space="preserve">macro-financial assistance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(EUR 25 million from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a total of EUR 45 million) is subject to satisfactory compliance with the agreed policy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conditions.</w:t>
      </w:r>
    </w:p>
    <w:p w:rsidR="00A76502" w:rsidRPr="00C10B77" w:rsidRDefault="00F26290">
      <w:pPr>
        <w:framePr w:w="195" w:wrap="auto" w:vAnchor="page" w:hAnchor="page" w:x="10593" w:y="15228"/>
        <w:spacing w:after="0" w:line="180" w:lineRule="atLeast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sz w:val="18"/>
          <w:szCs w:val="18"/>
          <w:highlight w:val="yellow"/>
        </w:rPr>
        <w:t>9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C10B77" w:rsidRDefault="00A76502">
      <w:pPr>
        <w:spacing w:after="0" w:line="310" w:lineRule="exact"/>
        <w:ind w:left="1814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10" w:lineRule="exact"/>
        <w:ind w:left="1814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10" w:lineRule="exact"/>
        <w:ind w:left="1814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254" w:after="0" w:line="310" w:lineRule="exact"/>
        <w:ind w:left="1814" w:right="1165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Georgia is doing well in international rankings as regards the </w:t>
      </w:r>
      <w:r w:rsidRPr="00C10B77">
        <w:rPr>
          <w:rFonts w:ascii="Times New Roman" w:hAnsi="Times New Roman" w:cs="Times New Roman"/>
          <w:b/>
          <w:i/>
          <w:color w:val="000000"/>
          <w:w w:val="117"/>
          <w:sz w:val="20"/>
          <w:szCs w:val="20"/>
          <w:highlight w:val="yellow"/>
        </w:rPr>
        <w:t xml:space="preserve">business environment,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e.g. it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now ranks 6th out of 190 countries in the World Bank's 'ease of doing business' index. It is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in the world's top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10 countries as regards: starting a business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(2nd): protecting minority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investors (2nd); registering property (4th); and enforcing contracts (8th). On the other hand, it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is ranked much lower on resolving insolvency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(60th), trading across borders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(43rd) and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accessing electricity (39th). Moreover, challenges remain with regard to the independence of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the judiciary, legal certainty and ongoing investigations of certain major businesses.</w:t>
      </w:r>
    </w:p>
    <w:p w:rsidR="00A76502" w:rsidRPr="00C10B77" w:rsidRDefault="00F26290">
      <w:pPr>
        <w:spacing w:before="192" w:after="0" w:line="308" w:lineRule="exact"/>
        <w:ind w:left="1814" w:right="1180" w:firstLine="9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As regards </w:t>
      </w:r>
      <w:r w:rsidRPr="00C10B77">
        <w:rPr>
          <w:rFonts w:ascii="Times New Roman" w:hAnsi="Times New Roman" w:cs="Times New Roman"/>
          <w:b/>
          <w:i/>
          <w:color w:val="000000"/>
          <w:w w:val="117"/>
          <w:sz w:val="20"/>
          <w:szCs w:val="20"/>
          <w:highlight w:val="yellow"/>
        </w:rPr>
        <w:t xml:space="preserve">agriculture,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the 2015-2020 strategy for the agricultural development of Georgia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(SA DG) and the 2017-2020 rural development strategy are under implementation. A new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2021-2027 agricultural and rural development strategy and its Action Plan For </w:t>
      </w:r>
      <w:r w:rsidRPr="00C10B77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 xml:space="preserve">2021-2023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have been approved on 18 December 2019. In June, the Parliament adopted the new Organic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Law on Agricultural Land, which </w:t>
      </w:r>
      <w:r w:rsidRPr="00C10B77">
        <w:rPr>
          <w:rFonts w:ascii="Times New Roman" w:hAnsi="Times New Roman" w:cs="Times New Roman"/>
          <w:i/>
          <w:color w:val="000000"/>
          <w:w w:val="115"/>
          <w:sz w:val="20"/>
          <w:szCs w:val="20"/>
          <w:highlight w:val="yellow"/>
        </w:rPr>
        <w:t xml:space="preserve">inter alia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regulates exceptions from the ban (under the new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constitution) on foreigners owning agricultural land in Georgia.</w:t>
      </w:r>
    </w:p>
    <w:p w:rsidR="00A76502" w:rsidRPr="00C10B77" w:rsidRDefault="00F26290">
      <w:pPr>
        <w:spacing w:before="190" w:after="0" w:line="311" w:lineRule="exact"/>
        <w:ind w:left="1814" w:right="1151" w:firstLine="9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The institutional reform of the  Ministry of Environmental  Protection and Agriculture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(MEPA) was completed in 2019, with the establishment of a new </w:t>
      </w:r>
      <w:r w:rsidRPr="00C10B77">
        <w:rPr>
          <w:rFonts w:ascii="Times New Roman" w:hAnsi="Times New Roman" w:cs="Times New Roman"/>
          <w:b/>
          <w:i/>
          <w:color w:val="000000"/>
          <w:w w:val="120"/>
          <w:sz w:val="20"/>
          <w:szCs w:val="20"/>
          <w:highlight w:val="yellow"/>
        </w:rPr>
        <w:t xml:space="preserve">Agriculture and Rural </w:t>
      </w:r>
      <w:r w:rsidRPr="00C10B77">
        <w:rPr>
          <w:rFonts w:ascii="Times New Roman" w:hAnsi="Times New Roman" w:cs="Times New Roman"/>
          <w:b/>
          <w:i/>
          <w:color w:val="000000"/>
          <w:w w:val="123"/>
          <w:sz w:val="20"/>
          <w:szCs w:val="20"/>
          <w:highlight w:val="yellow"/>
        </w:rPr>
        <w:t xml:space="preserve">Development Agency,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as a step towards the formation of a single paying agency. The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external mid-term review of the SADG gave a positive assessment of the implementation of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the related action plan. The programmes supported by MEPA with state and donor funds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continued to assist medium-sized farms and agribusinesses. The role of private certifiers in sensitive areas such as laboratories, phytosanitary issues and animal vaccination remains to </w:t>
      </w:r>
      <w:r w:rsidRPr="00C10B77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be clarified.</w:t>
      </w:r>
    </w:p>
    <w:p w:rsidR="00A76502" w:rsidRPr="00C10B77" w:rsidRDefault="00F26290">
      <w:pPr>
        <w:spacing w:before="194" w:after="0" w:line="306" w:lineRule="exact"/>
        <w:ind w:left="1823" w:right="1180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On the basis of broad </w:t>
      </w:r>
      <w:r w:rsidRPr="00C10B77">
        <w:rPr>
          <w:rFonts w:ascii="Times New Roman" w:hAnsi="Times New Roman" w:cs="Times New Roman"/>
          <w:b/>
          <w:i/>
          <w:color w:val="000000"/>
          <w:w w:val="120"/>
          <w:sz w:val="20"/>
          <w:szCs w:val="20"/>
          <w:highlight w:val="yellow"/>
        </w:rPr>
        <w:t xml:space="preserve">regional development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objectives for 2018-2021, a pilot integrated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regional development programme has been prepared for the EU focal regions </w:t>
      </w: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yellow"/>
        </w:rPr>
        <w:t xml:space="preserve">(Kakheti,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Imereti, Guria, Racha-Lechkhumi and Kvemo Svaneti). It identifies the following priorities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for investment: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1) urban renewal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— integrated actions in urban areas;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2) unique tourism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 xml:space="preserve">potential;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3) entrepreneurship, competitiveness and innovation of local SMEs; 4) integrated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local development; and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5) efficient local  administration and partners for development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(technical assistance).</w:t>
      </w:r>
    </w:p>
    <w:p w:rsidR="00A76502" w:rsidRPr="00C10B77" w:rsidRDefault="00F26290">
      <w:pPr>
        <w:spacing w:before="213" w:after="0" w:line="308" w:lineRule="exact"/>
        <w:ind w:left="1823" w:right="1147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The Government developed a decentralisation strategy for 2019-2025, with the intention of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devolving more functions and financial-resources to local authorities. The strategy's three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dimensions, all aimed at enhancing public welfare, the role of citizens and community </w:t>
      </w:r>
      <w:r w:rsidRPr="00C10B77">
        <w:rPr>
          <w:rFonts w:ascii="Times New Roman" w:hAnsi="Times New Roman" w:cs="Times New Roman"/>
          <w:color w:val="000000"/>
          <w:w w:val="127"/>
          <w:sz w:val="20"/>
          <w:szCs w:val="20"/>
          <w:highlight w:val="yellow"/>
        </w:rPr>
        <w:t xml:space="preserve">groups, and the delivery of public services to address increasing demands from the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population,  are  as  follows:  i)  increasing  the  powers  of local  authorities:  ii)  fiscal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decentralisation; and iii) citizens' involvement and transparency.</w:t>
      </w:r>
    </w:p>
    <w:p w:rsidR="00A76502" w:rsidRPr="00C10B77" w:rsidRDefault="00F26290">
      <w:pPr>
        <w:spacing w:before="191" w:after="0" w:line="310" w:lineRule="exact"/>
        <w:ind w:left="1823" w:right="1166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A smart specialisation framework for strengthening innovation potential of the regions under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the leadership of Ministry of Regional Development and Infrastructure is being established.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A pilot action was launched in the region of Imereti.</w:t>
      </w:r>
    </w:p>
    <w:p w:rsidR="00A76502" w:rsidRPr="00C10B77" w:rsidRDefault="00F26290">
      <w:pPr>
        <w:spacing w:before="199" w:after="0" w:line="300" w:lineRule="exact"/>
        <w:ind w:left="1828" w:right="1166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The </w:t>
      </w:r>
      <w:r w:rsidRPr="00C10B77">
        <w:rPr>
          <w:rFonts w:ascii="Times New Roman" w:hAnsi="Times New Roman" w:cs="Times New Roman"/>
          <w:b/>
          <w:i/>
          <w:color w:val="000000"/>
          <w:w w:val="117"/>
          <w:sz w:val="20"/>
          <w:szCs w:val="20"/>
          <w:highlight w:val="yellow"/>
        </w:rPr>
        <w:t xml:space="preserve">reform of public internal financial control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>saw limited activity in 2019. A functional internal audit system has been established in all ministries and a new internal auditor</w:t>
      </w:r>
    </w:p>
    <w:p w:rsidR="00A76502" w:rsidRPr="00C10B77" w:rsidRDefault="00F26290">
      <w:pPr>
        <w:framePr w:w="296" w:wrap="auto" w:vAnchor="page" w:hAnchor="page" w:x="10377" w:y="15247"/>
        <w:spacing w:after="0" w:line="180" w:lineRule="atLeast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06"/>
          <w:sz w:val="18"/>
          <w:szCs w:val="18"/>
          <w:highlight w:val="yellow"/>
        </w:rPr>
        <w:t>10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C10B77" w:rsidRDefault="00A76502">
      <w:pPr>
        <w:spacing w:after="0" w:line="300" w:lineRule="exact"/>
        <w:ind w:left="1910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00" w:lineRule="exact"/>
        <w:ind w:left="1910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00" w:lineRule="exact"/>
        <w:ind w:left="1910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213" w:after="0" w:line="300" w:lineRule="exact"/>
        <w:ind w:left="1910" w:right="1122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certification programme will get under way in Spring 2020. Draft amendments to the State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Audit Law would provide for the external auditing of the revenue side of the budget.</w:t>
      </w:r>
    </w:p>
    <w:p w:rsidR="00A76502" w:rsidRPr="00C10B77" w:rsidRDefault="00F26290">
      <w:pPr>
        <w:spacing w:before="190" w:after="0" w:line="313" w:lineRule="exact"/>
        <w:ind w:left="1910" w:right="1093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On </w:t>
      </w:r>
      <w:r w:rsidRPr="00C10B77">
        <w:rPr>
          <w:rFonts w:ascii="Times New Roman" w:hAnsi="Times New Roman" w:cs="Times New Roman"/>
          <w:i/>
          <w:color w:val="000000"/>
          <w:w w:val="113"/>
          <w:highlight w:val="yellow"/>
        </w:rPr>
        <w:t xml:space="preserve">taxation,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the fight against fraud and the smuggling of excisable products continued, as did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work on legislative approximation in the area of indirect taxation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(excluding taxation of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energy products). In the autumn, the Ministry of Finance submitted a timeline for raising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excise duties on all tobacco products listed in the AA, apart from cigarettes.</w:t>
      </w:r>
    </w:p>
    <w:p w:rsidR="00A76502" w:rsidRPr="00C10B77" w:rsidRDefault="00F26290">
      <w:pPr>
        <w:tabs>
          <w:tab w:val="left" w:pos="5184"/>
        </w:tabs>
        <w:spacing w:before="170" w:after="0" w:line="310" w:lineRule="exact"/>
        <w:ind w:left="1910" w:right="1132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The  national  statistics  system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(NSS)  improved  its  compliance  with  European  and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international standards in a number of statistical domains, including commitment to quality,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statistical confidentiality, impartiality and objectivity, relevance, accessibility and clarity.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Recommendations have been developed in the area of methodology, adequacy of resources,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NSS coordination and sectoral statistics (e.g. on the environment, innovation and energy).</w:t>
      </w:r>
    </w:p>
    <w:p w:rsidR="00A76502" w:rsidRPr="00C10B77" w:rsidRDefault="00F26290">
      <w:pPr>
        <w:spacing w:before="214" w:after="0" w:line="306" w:lineRule="exact"/>
        <w:ind w:left="1915" w:right="1108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As regards </w:t>
      </w:r>
      <w:r w:rsidRPr="00C10B77">
        <w:rPr>
          <w:rFonts w:ascii="Times New Roman" w:hAnsi="Times New Roman" w:cs="Times New Roman"/>
          <w:i/>
          <w:color w:val="000000"/>
          <w:w w:val="117"/>
          <w:highlight w:val="yellow"/>
        </w:rPr>
        <w:t xml:space="preserve">industrial and enterprise policy,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the Government continued to implement the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SME strategy. By August, a total of 521 businesses had been supported under the Produce in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Georgia' programme12, with a total of over GEL 1.186 billion invested and more than </w:t>
      </w:r>
      <w:r w:rsidRPr="00C10B77">
        <w:rPr>
          <w:rFonts w:ascii="Times New Roman" w:hAnsi="Times New Roman" w:cs="Times New Roman"/>
          <w:color w:val="000000"/>
          <w:w w:val="107"/>
          <w:sz w:val="20"/>
          <w:szCs w:val="20"/>
          <w:highlight w:val="yellow"/>
        </w:rPr>
        <w:t xml:space="preserve">18 270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new jobs created. Analysis was carried out to identify products and services in relation to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which Georgia could develop further export potential and thus make full use of the DCFTA.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As a result, the Government decided to study three value chains in greater depth and develop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export promotion action plans for clothing, furniture and IT. It also worked to set up a credit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guarantee scheme and develop alternative financing tools. Since March, regulatory impact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 xml:space="preserve">assessments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(RIAs) have been compulsory for all new business-related legislation and a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methodology is being developed for SME-specific RIA tests.</w:t>
      </w:r>
    </w:p>
    <w:p w:rsidR="00A76502" w:rsidRPr="00C10B77" w:rsidRDefault="00F26290">
      <w:pPr>
        <w:spacing w:before="214" w:after="0" w:line="306" w:lineRule="exact"/>
        <w:ind w:left="1915" w:right="1108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As </w:t>
      </w:r>
      <w:r w:rsidRPr="00C10B77">
        <w:rPr>
          <w:rFonts w:ascii="Times New Roman" w:hAnsi="Times New Roman" w:cs="Times New Roman"/>
          <w:i/>
          <w:color w:val="000000"/>
          <w:w w:val="113"/>
          <w:highlight w:val="yellow"/>
        </w:rPr>
        <w:t xml:space="preserve">regards fisheries and aquaculture,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Georgia has asked for full membership of the General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Fisheries Commission for the Mediterranean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>(GFCM), upgrading the cooperating non-</w:t>
      </w:r>
      <w:r w:rsidRPr="00C10B77">
        <w:rPr>
          <w:highlight w:val="yellow"/>
        </w:rPr>
        <w:br/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contracting party status it has held since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2015. It continues to cooperate under the Sofia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Ministerial Declaration. It also continues to participate in the Black Sea joint control and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inspection plan and is involved in the GFCM BlackSea4Fish project. Georgia has been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working closely with the EU on revising regional management measures for iconic Black Sea </w:t>
      </w: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yellow"/>
        </w:rPr>
        <w:t>fish stocks.</w:t>
      </w:r>
    </w:p>
    <w:p w:rsidR="00A76502" w:rsidRPr="00C10B77" w:rsidRDefault="00F26290">
      <w:pPr>
        <w:spacing w:before="189" w:after="0" w:line="313" w:lineRule="exact"/>
        <w:ind w:left="1915" w:right="1108" w:firstLine="9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Georgia has also been actively working to follow-up on the shortcomings identified in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relation to the fight against </w:t>
      </w:r>
      <w:r w:rsidRPr="00C10B77">
        <w:rPr>
          <w:rFonts w:ascii="Times New Roman" w:hAnsi="Times New Roman" w:cs="Times New Roman"/>
          <w:i/>
          <w:color w:val="000000"/>
          <w:w w:val="113"/>
          <w:highlight w:val="yellow"/>
        </w:rPr>
        <w:t xml:space="preserve">illegal, unreported and unregulated (IUU)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fishing. The country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made efforts to set up a Vessel Monitoring System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(VMS) and currently implements an </w:t>
      </w:r>
      <w:r w:rsidRPr="00C10B77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Automatic Identification System (AIS) on-a-pilot basis.</w:t>
      </w:r>
    </w:p>
    <w:p w:rsidR="00A76502" w:rsidRPr="00C10B77" w:rsidRDefault="00F26290">
      <w:pPr>
        <w:spacing w:before="192" w:after="0" w:line="308" w:lineRule="exact"/>
        <w:ind w:left="1924" w:right="1108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In the </w:t>
      </w:r>
      <w:r w:rsidRPr="00C10B77">
        <w:rPr>
          <w:rFonts w:ascii="Times New Roman" w:hAnsi="Times New Roman" w:cs="Times New Roman"/>
          <w:i/>
          <w:color w:val="000000"/>
          <w:w w:val="121"/>
          <w:highlight w:val="yellow"/>
        </w:rPr>
        <w:t xml:space="preserve">maritime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sector, Georgia has implemented most of the directives and regulations </w:t>
      </w:r>
      <w:r w:rsidRPr="00C10B77">
        <w:rPr>
          <w:rFonts w:ascii="Times New Roman" w:hAnsi="Times New Roman" w:cs="Times New Roman"/>
          <w:color w:val="000000"/>
          <w:w w:val="126"/>
          <w:sz w:val="20"/>
          <w:szCs w:val="20"/>
          <w:highlight w:val="yellow"/>
        </w:rPr>
        <w:t xml:space="preserve">referred to  in the AA. The Maritime Transport Agency is currently working on the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transposition of two more of the directives. A maritime transport strategy is being developed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and alignment with the maritime safety </w:t>
      </w:r>
      <w:r w:rsidRPr="00C10B77">
        <w:rPr>
          <w:rFonts w:ascii="Times New Roman" w:hAnsi="Times New Roman" w:cs="Times New Roman"/>
          <w:i/>
          <w:color w:val="000000"/>
          <w:w w:val="118"/>
          <w:sz w:val="20"/>
          <w:szCs w:val="20"/>
          <w:highlight w:val="yellow"/>
        </w:rPr>
        <w:t xml:space="preserve">acquis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continues in line with AA commitments. In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May 2019, Georgia endorsed at Ministerial level the Common Maritime Agenda for the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Black Sea, a sea basin initiative for sustainable blue economy.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115" w:lineRule="exact"/>
        <w:ind w:left="1939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115" w:lineRule="exact"/>
        <w:ind w:left="1939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115" w:lineRule="exact"/>
        <w:ind w:left="1939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115" w:lineRule="exact"/>
        <w:ind w:left="1939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115" w:lineRule="exact"/>
        <w:ind w:left="1939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9" w:after="0" w:line="115" w:lineRule="exact"/>
        <w:ind w:left="1939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sz w:val="10"/>
          <w:szCs w:val="10"/>
          <w:highlight w:val="yellow"/>
        </w:rPr>
        <w:t>12</w:t>
      </w:r>
    </w:p>
    <w:p w:rsidR="00A76502" w:rsidRPr="00C10B77" w:rsidRDefault="00F26290">
      <w:pPr>
        <w:spacing w:after="0" w:line="184" w:lineRule="exact"/>
        <w:ind w:left="2203"/>
        <w:rPr>
          <w:sz w:val="24"/>
          <w:szCs w:val="24"/>
          <w:highlight w:val="yellow"/>
        </w:rPr>
      </w:pPr>
      <w:r w:rsidRPr="00C10B77">
        <w:rPr>
          <w:sz w:val="24"/>
          <w:szCs w:val="24"/>
          <w:highlight w:val="yellow"/>
        </w:rPr>
        <w:br w:type="column"/>
      </w:r>
    </w:p>
    <w:p w:rsidR="00A76502" w:rsidRPr="00C10B77" w:rsidRDefault="00A76502">
      <w:pPr>
        <w:spacing w:after="0" w:line="184" w:lineRule="exact"/>
        <w:ind w:left="2203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159" w:after="0" w:line="184" w:lineRule="exact"/>
        <w:ind w:left="10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7"/>
          <w:sz w:val="16"/>
          <w:szCs w:val="16"/>
          <w:highlight w:val="yellow"/>
        </w:rPr>
        <w:t>Source: Enterprise Georgia.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type w:val="continuous"/>
          <w:pgSz w:w="11900" w:h="15500"/>
          <w:pgMar w:top="-20" w:right="0" w:bottom="-20" w:left="0" w:header="0" w:footer="0" w:gutter="0"/>
          <w:cols w:num="2" w:space="720" w:equalWidth="0">
            <w:col w:w="2083" w:space="110"/>
            <w:col w:w="9547" w:space="160"/>
          </w:cols>
        </w:sectPr>
      </w:pPr>
    </w:p>
    <w:p w:rsidR="00A76502" w:rsidRPr="00C10B77" w:rsidRDefault="00F26290">
      <w:pPr>
        <w:framePr w:w="301" w:wrap="auto" w:vAnchor="page" w:hAnchor="page" w:x="10435" w:y="15180"/>
        <w:spacing w:after="0" w:line="180" w:lineRule="atLeast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09"/>
          <w:sz w:val="18"/>
          <w:szCs w:val="18"/>
          <w:highlight w:val="yellow"/>
        </w:rPr>
        <w:t>11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type w:val="continuous"/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C10B77" w:rsidRDefault="00A76502">
      <w:pPr>
        <w:spacing w:after="0" w:line="312" w:lineRule="exact"/>
        <w:ind w:left="1838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12" w:lineRule="exact"/>
        <w:ind w:left="1838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12" w:lineRule="exact"/>
        <w:ind w:left="1838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227" w:after="0" w:line="312" w:lineRule="exact"/>
        <w:ind w:left="1838" w:right="1137" w:firstLine="1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b/>
          <w:i/>
          <w:color w:val="000000"/>
          <w:w w:val="115"/>
          <w:sz w:val="20"/>
          <w:szCs w:val="20"/>
          <w:highlight w:val="yellow"/>
        </w:rPr>
        <w:t xml:space="preserve">Tourism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is a growing and increasingly important industry in Georgia, accounting for 7.7% of </w:t>
      </w:r>
      <w:r w:rsidRPr="00C10B77">
        <w:rPr>
          <w:rFonts w:ascii="Times New Roman" w:hAnsi="Times New Roman" w:cs="Times New Roman"/>
          <w:color w:val="000000"/>
          <w:spacing w:val="1"/>
          <w:w w:val="126"/>
          <w:sz w:val="20"/>
          <w:szCs w:val="20"/>
          <w:highlight w:val="yellow"/>
        </w:rPr>
        <w:t xml:space="preserve">GDP in the first two quarters of 2019. The second quarter saw a record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 xml:space="preserve">1 </w:t>
      </w:r>
      <w:r w:rsidRPr="00C10B77">
        <w:rPr>
          <w:rFonts w:ascii="Times New Roman" w:hAnsi="Times New Roman" w:cs="Times New Roman"/>
          <w:color w:val="000000"/>
          <w:w w:val="106"/>
          <w:sz w:val="20"/>
          <w:szCs w:val="20"/>
          <w:highlight w:val="yellow"/>
        </w:rPr>
        <w:t xml:space="preserve">896 </w:t>
      </w:r>
      <w:r w:rsidRPr="00C10B77">
        <w:rPr>
          <w:rFonts w:ascii="Times New Roman" w:hAnsi="Times New Roman" w:cs="Times New Roman"/>
          <w:color w:val="000000"/>
          <w:spacing w:val="1"/>
          <w:sz w:val="20"/>
          <w:szCs w:val="20"/>
          <w:highlight w:val="yellow"/>
        </w:rPr>
        <w:t xml:space="preserve">104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international visitor trips, which represents growth of 13% in comparison to the second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quarter of 201813. The third quarter of 2019 also saw a record number (2 </w:t>
      </w:r>
      <w:r w:rsidRPr="00C10B77">
        <w:rPr>
          <w:rFonts w:ascii="Times New Roman" w:hAnsi="Times New Roman" w:cs="Times New Roman"/>
          <w:color w:val="000000"/>
          <w:w w:val="104"/>
          <w:sz w:val="20"/>
          <w:szCs w:val="20"/>
          <w:highlight w:val="yellow"/>
        </w:rPr>
        <w:t xml:space="preserve">753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207), but growth had slowed to 4% in comparison to the third quarter of 2018, primarily as a result of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restrictions on tourism imposed by Russia from July.</w:t>
      </w:r>
    </w:p>
    <w:p w:rsidR="00A76502" w:rsidRPr="00C10B77" w:rsidRDefault="00F26290">
      <w:pPr>
        <w:spacing w:before="198" w:after="0" w:line="300" w:lineRule="exact"/>
        <w:ind w:left="1838" w:right="1165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A completely new </w:t>
      </w:r>
      <w:r w:rsidRPr="00C10B77">
        <w:rPr>
          <w:rFonts w:ascii="Times New Roman" w:hAnsi="Times New Roman" w:cs="Times New Roman"/>
          <w:b/>
          <w:i/>
          <w:color w:val="000000"/>
          <w:w w:val="115"/>
          <w:sz w:val="20"/>
          <w:szCs w:val="20"/>
          <w:highlight w:val="yellow"/>
        </w:rPr>
        <w:t xml:space="preserve">Company Law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has been drafted to regulate corporate relations by default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and to approximate the legislation to the EU directives referred to in the AA.</w:t>
      </w:r>
    </w:p>
    <w:p w:rsidR="00A76502" w:rsidRPr="00C10B77" w:rsidRDefault="00F26290">
      <w:pPr>
        <w:spacing w:before="216" w:after="0" w:line="306" w:lineRule="exact"/>
        <w:ind w:left="1838" w:right="1166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As regards </w:t>
      </w:r>
      <w:r w:rsidRPr="00C10B77">
        <w:rPr>
          <w:rFonts w:ascii="Times New Roman" w:hAnsi="Times New Roman" w:cs="Times New Roman"/>
          <w:b/>
          <w:i/>
          <w:color w:val="000000"/>
          <w:w w:val="122"/>
          <w:sz w:val="20"/>
          <w:szCs w:val="20"/>
          <w:highlight w:val="yellow"/>
        </w:rPr>
        <w:t xml:space="preserve">financial services,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the NBG is strengthening the regulatory and supervisory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frameworks for banking, non-banking, payments, and capital and securities markets, by: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developing a responsible lending framework; protecting consumers; and improving financial </w:t>
      </w:r>
      <w:r w:rsidRPr="00C10B77">
        <w:rPr>
          <w:rFonts w:ascii="Times New Roman" w:hAnsi="Times New Roman" w:cs="Times New Roman"/>
          <w:color w:val="000000"/>
          <w:w w:val="109"/>
          <w:sz w:val="20"/>
          <w:szCs w:val="20"/>
          <w:highlight w:val="yellow"/>
        </w:rPr>
        <w:t>literacy.</w:t>
      </w:r>
    </w:p>
    <w:p w:rsidR="00A76502" w:rsidRPr="00C10B77" w:rsidRDefault="00F26290">
      <w:pPr>
        <w:spacing w:before="191" w:after="0" w:line="310" w:lineRule="exact"/>
        <w:ind w:left="1838" w:right="1165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The NBG continued to implement de-dollarisation measures and improve financial market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infrastructure. The Insurance State Supervision Service of Georgia has advanced legislation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on compulsory third-party liability for vehicles.</w:t>
      </w:r>
    </w:p>
    <w:p w:rsidR="00A76502" w:rsidRPr="00C10B77" w:rsidRDefault="00F26290">
      <w:pPr>
        <w:spacing w:before="190" w:after="0" w:line="310" w:lineRule="exact"/>
        <w:ind w:left="1843" w:right="1136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Georgia  is  gradually  aligning  its </w:t>
      </w:r>
      <w:r w:rsidRPr="00C10B77">
        <w:rPr>
          <w:rFonts w:ascii="Times New Roman" w:hAnsi="Times New Roman" w:cs="Times New Roman"/>
          <w:b/>
          <w:i/>
          <w:color w:val="000000"/>
          <w:w w:val="122"/>
          <w:sz w:val="20"/>
          <w:szCs w:val="20"/>
          <w:highlight w:val="yellow"/>
        </w:rPr>
        <w:t xml:space="preserve"> accounting  and auditing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 practices  with  EU  and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international practices in order to improve the investment climate and the competitiveness of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local businesses. In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2019, financial reporting requirements under the Law on Accounting,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Reporting and Auditing became compulsory for companies of all types (other than non-profit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making) and sizes.</w:t>
      </w:r>
    </w:p>
    <w:p w:rsidR="00A76502" w:rsidRPr="00C10B77" w:rsidRDefault="00F26290">
      <w:pPr>
        <w:tabs>
          <w:tab w:val="left" w:pos="7507"/>
          <w:tab w:val="left" w:pos="8169"/>
        </w:tabs>
        <w:spacing w:before="193" w:after="0" w:line="307" w:lineRule="exact"/>
        <w:ind w:left="1843" w:right="1151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As regards </w:t>
      </w:r>
      <w:r w:rsidRPr="00C10B77">
        <w:rPr>
          <w:rFonts w:ascii="Times New Roman" w:hAnsi="Times New Roman" w:cs="Times New Roman"/>
          <w:b/>
          <w:color w:val="000000"/>
          <w:w w:val="114"/>
          <w:highlight w:val="yellow"/>
        </w:rPr>
        <w:t xml:space="preserve">employment,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unemployment remains high, at </w:t>
      </w:r>
      <w:r w:rsidRPr="00C10B77">
        <w:rPr>
          <w:rFonts w:ascii="Times New Roman" w:hAnsi="Times New Roman" w:cs="Times New Roman"/>
          <w:color w:val="000000"/>
          <w:highlight w:val="yellow"/>
        </w:rPr>
        <w:tab/>
      </w:r>
      <w:r w:rsidRPr="00C10B77">
        <w:rPr>
          <w:rFonts w:ascii="Times New Roman" w:hAnsi="Times New Roman" w:cs="Times New Roman"/>
          <w:b/>
          <w:color w:val="000000"/>
          <w:spacing w:val="-8"/>
          <w:highlight w:val="yellow"/>
        </w:rPr>
        <w:t xml:space="preserve">11.1%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(2nd quarter). With more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than 40% of self-employed people in subsistence farming, unemployment (together with wide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regional disparities and a big skills mismatch) remains a major challenge. It remains higher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among women than among men. The Employment Service Agency was established in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October separating employment services from social services. The Ministry of Internally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Displaced   Persons  from   Occupied  Territories,   Labour,  Health  and  Social  Affairs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(MoIDPLHSA) has drawn up a new labour market strategy for 2019-2023. The Tripartite Social Partnership Commission continued to meet at its annual plenary session and in the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framework of working groups.</w:t>
      </w:r>
    </w:p>
    <w:p w:rsidR="00A76502" w:rsidRPr="00C10B77" w:rsidRDefault="00F26290">
      <w:pPr>
        <w:tabs>
          <w:tab w:val="left" w:pos="7737"/>
        </w:tabs>
        <w:spacing w:before="211" w:after="0" w:line="310" w:lineRule="exact"/>
        <w:ind w:left="1852" w:right="1147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The amended Law on </w:t>
      </w:r>
      <w:r w:rsidRPr="00C10B77">
        <w:rPr>
          <w:rFonts w:ascii="Times New Roman" w:hAnsi="Times New Roman" w:cs="Times New Roman"/>
          <w:b/>
          <w:i/>
          <w:color w:val="000000"/>
          <w:w w:val="123"/>
          <w:sz w:val="20"/>
          <w:szCs w:val="20"/>
          <w:highlight w:val="yellow"/>
        </w:rPr>
        <w:t xml:space="preserve">Occupational Health and Safety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(OHS) entered  into force in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September, allowing the Labour InspectOrate to perform unannounced checks and charge fines in all sectors. However, the Inspectorate's mandate remains unchanged and does not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cover working conditions outside OHS. There was a new wave of protests against dangerous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working conditions and poor social protection throughout 2019.</w:t>
      </w:r>
    </w:p>
    <w:p w:rsidR="00A76502" w:rsidRPr="00C10B77" w:rsidRDefault="00F26290">
      <w:pPr>
        <w:spacing w:before="190" w:after="0" w:line="310" w:lineRule="exact"/>
        <w:ind w:left="1852" w:right="1147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MoIDPLHSA is drafting an overarching national </w:t>
      </w:r>
      <w:r w:rsidRPr="00C10B77">
        <w:rPr>
          <w:rFonts w:ascii="Times New Roman" w:hAnsi="Times New Roman" w:cs="Times New Roman"/>
          <w:b/>
          <w:i/>
          <w:color w:val="000000"/>
          <w:w w:val="115"/>
          <w:sz w:val="20"/>
          <w:szCs w:val="20"/>
          <w:highlight w:val="yellow"/>
        </w:rPr>
        <w:t xml:space="preserve">public health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strategy. Work is progressing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on the electronic healthcare system, improving the quality of care and reducing inequalities in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the health system. The maternal mortality ratio was 27.4 per 1 000 births in 2018. There were</w:t>
      </w:r>
    </w:p>
    <w:p w:rsidR="00A76502" w:rsidRPr="00C10B77" w:rsidRDefault="00F26290">
      <w:pPr>
        <w:spacing w:before="77" w:after="0" w:line="230" w:lineRule="exact"/>
        <w:ind w:left="1857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>55 deaths caused by AIDS in 2018 and 30 in the first 6 months of 2019. Georgia continued to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115" w:lineRule="exact"/>
        <w:ind w:left="1867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115" w:lineRule="exact"/>
        <w:ind w:left="1867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48" w:after="0" w:line="115" w:lineRule="exact"/>
        <w:ind w:left="1867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spacing w:val="-4"/>
          <w:sz w:val="10"/>
          <w:szCs w:val="10"/>
          <w:highlight w:val="yellow"/>
        </w:rPr>
        <w:t>13</w:t>
      </w:r>
    </w:p>
    <w:p w:rsidR="00A76502" w:rsidRPr="00C10B77" w:rsidRDefault="00F26290">
      <w:pPr>
        <w:spacing w:after="0" w:line="128" w:lineRule="exact"/>
        <w:ind w:left="2131"/>
        <w:rPr>
          <w:sz w:val="24"/>
          <w:szCs w:val="24"/>
          <w:highlight w:val="yellow"/>
        </w:rPr>
      </w:pPr>
      <w:r w:rsidRPr="00C10B77">
        <w:rPr>
          <w:sz w:val="24"/>
          <w:szCs w:val="24"/>
          <w:highlight w:val="yellow"/>
        </w:rPr>
        <w:br w:type="column"/>
      </w:r>
    </w:p>
    <w:p w:rsidR="00A76502" w:rsidRPr="00C10B77" w:rsidRDefault="00A76502">
      <w:pPr>
        <w:spacing w:after="0" w:line="128" w:lineRule="exact"/>
        <w:ind w:left="2131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118" w:after="0" w:line="128" w:lineRule="exact"/>
        <w:ind w:left="10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9"/>
          <w:sz w:val="16"/>
          <w:szCs w:val="16"/>
          <w:highlight w:val="yellow"/>
        </w:rPr>
        <w:t>Source: Georgian National Tourism Administration.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type w:val="continuous"/>
          <w:pgSz w:w="11900" w:h="15500"/>
          <w:pgMar w:top="-20" w:right="0" w:bottom="-20" w:left="0" w:header="0" w:footer="0" w:gutter="0"/>
          <w:cols w:num="2" w:space="720" w:equalWidth="0">
            <w:col w:w="2011" w:space="110"/>
            <w:col w:w="9619" w:space="160"/>
          </w:cols>
        </w:sectPr>
      </w:pPr>
    </w:p>
    <w:p w:rsidR="00A76502" w:rsidRPr="00C10B77" w:rsidRDefault="00F26290">
      <w:pPr>
        <w:framePr w:w="292" w:wrap="auto" w:vAnchor="page" w:hAnchor="page" w:x="10401" w:y="15309"/>
        <w:spacing w:after="0" w:line="180" w:lineRule="atLeast"/>
        <w:rPr>
          <w:highlight w:val="yellow"/>
        </w:rPr>
      </w:pPr>
      <w:r w:rsidRPr="00C10B77">
        <w:rPr>
          <w:rFonts w:ascii="Times New Roman" w:hAnsi="Times New Roman" w:cs="Times New Roman"/>
          <w:b/>
          <w:color w:val="000000"/>
          <w:spacing w:val="-3"/>
          <w:sz w:val="18"/>
          <w:szCs w:val="18"/>
          <w:highlight w:val="yellow"/>
        </w:rPr>
        <w:t>12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type w:val="continuous"/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C10B77" w:rsidRDefault="00A76502">
      <w:pPr>
        <w:spacing w:after="0" w:line="280" w:lineRule="exact"/>
        <w:ind w:left="1953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280" w:lineRule="exact"/>
        <w:ind w:left="1953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280" w:lineRule="exact"/>
        <w:ind w:left="1953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280" w:lineRule="exact"/>
        <w:ind w:left="1953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29" w:after="0" w:line="280" w:lineRule="exact"/>
        <w:ind w:left="1953" w:right="1079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work on blood safety, tissue transplantation, the tracking of environmental health and tobacco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control in line with the AA.</w:t>
      </w:r>
    </w:p>
    <w:p w:rsidR="00A76502" w:rsidRPr="00C10B77" w:rsidRDefault="00A76502">
      <w:pPr>
        <w:spacing w:after="0" w:line="230" w:lineRule="exact"/>
        <w:ind w:left="2644"/>
        <w:rPr>
          <w:sz w:val="24"/>
          <w:szCs w:val="24"/>
          <w:highlight w:val="yellow"/>
        </w:rPr>
      </w:pPr>
    </w:p>
    <w:p w:rsidR="00A76502" w:rsidRPr="00C10B77" w:rsidRDefault="00F26290">
      <w:pPr>
        <w:tabs>
          <w:tab w:val="left" w:pos="3336"/>
        </w:tabs>
        <w:spacing w:before="32" w:after="0" w:line="230" w:lineRule="exact"/>
        <w:ind w:left="2644"/>
        <w:rPr>
          <w:highlight w:val="yellow"/>
        </w:rPr>
      </w:pPr>
      <w:r w:rsidRPr="00C10B77">
        <w:rPr>
          <w:rFonts w:ascii="Times New Roman" w:hAnsi="Times New Roman" w:cs="Times New Roman"/>
          <w:b/>
          <w:color w:val="000000"/>
          <w:sz w:val="20"/>
          <w:szCs w:val="20"/>
          <w:highlight w:val="yellow"/>
        </w:rPr>
        <w:t xml:space="preserve">3.2.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b/>
          <w:color w:val="000000"/>
          <w:w w:val="116"/>
          <w:sz w:val="20"/>
          <w:szCs w:val="20"/>
          <w:highlight w:val="yellow"/>
        </w:rPr>
        <w:t>Trade and trade-related matters</w:t>
      </w:r>
    </w:p>
    <w:p w:rsidR="00A76502" w:rsidRPr="00C10B77" w:rsidRDefault="00F26290">
      <w:pPr>
        <w:spacing w:before="228" w:after="0" w:line="306" w:lineRule="exact"/>
        <w:ind w:left="1953" w:right="1089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In the first ten months of </w:t>
      </w:r>
      <w:r w:rsidRPr="00C10B77">
        <w:rPr>
          <w:rFonts w:ascii="Times New Roman" w:hAnsi="Times New Roman" w:cs="Times New Roman"/>
          <w:b/>
          <w:color w:val="000000"/>
          <w:w w:val="120"/>
          <w:sz w:val="20"/>
          <w:szCs w:val="20"/>
          <w:highlight w:val="yellow"/>
        </w:rPr>
        <w:t xml:space="preserve">2019, trade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turnover between the EU and Georgia amounted to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EUR 1.3 billion, down by 4% compared to the same period in 2018. EU exports to Georgia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remained stable, at FUR 1.7 billion (0.7% lower than in the first ten months of 2018) and </w:t>
      </w:r>
      <w:r w:rsidRPr="00C10B77">
        <w:rPr>
          <w:rFonts w:ascii="Times New Roman" w:hAnsi="Times New Roman" w:cs="Times New Roman"/>
          <w:color w:val="000000"/>
          <w:w w:val="114"/>
          <w:highlight w:val="yellow"/>
        </w:rPr>
        <w:t xml:space="preserve">EU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imports from Georgia fell by 15 %, to EUR 475 million.</w:t>
      </w:r>
    </w:p>
    <w:p w:rsidR="00A76502" w:rsidRPr="00C10B77" w:rsidRDefault="00F26290">
      <w:pPr>
        <w:spacing w:before="214" w:after="0" w:line="307" w:lineRule="exact"/>
        <w:ind w:left="1943" w:right="1051" w:firstLine="9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On </w:t>
      </w:r>
      <w:r w:rsidRPr="00C10B77">
        <w:rPr>
          <w:rFonts w:ascii="Times New Roman" w:hAnsi="Times New Roman" w:cs="Times New Roman"/>
          <w:b/>
          <w:i/>
          <w:color w:val="000000"/>
          <w:w w:val="124"/>
          <w:sz w:val="20"/>
          <w:szCs w:val="20"/>
          <w:highlight w:val="yellow"/>
        </w:rPr>
        <w:t xml:space="preserve">technical barriers to trade,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Georgia has continued to improve the national quality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infrastructure, in particular in the fields of: </w:t>
      </w:r>
      <w:r w:rsidRPr="00C10B77">
        <w:rPr>
          <w:rFonts w:ascii="Times New Roman" w:hAnsi="Times New Roman" w:cs="Times New Roman"/>
          <w:b/>
          <w:i/>
          <w:color w:val="000000"/>
          <w:w w:val="114"/>
          <w:sz w:val="20"/>
          <w:szCs w:val="20"/>
          <w:highlight w:val="yellow"/>
        </w:rPr>
        <w:t xml:space="preserve">standards and metrology,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where the laboratory of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small volumes has undergone a peer review to obtain international recognition as a valid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reference laboratory; </w:t>
      </w:r>
      <w:r w:rsidRPr="00C10B77">
        <w:rPr>
          <w:rFonts w:ascii="Times New Roman" w:hAnsi="Times New Roman" w:cs="Times New Roman"/>
          <w:b/>
          <w:i/>
          <w:color w:val="000000"/>
          <w:w w:val="114"/>
          <w:sz w:val="20"/>
          <w:szCs w:val="20"/>
          <w:highlight w:val="yellow"/>
        </w:rPr>
        <w:t xml:space="preserve">accreditation,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where the Georgian Accreditation Centre is preparing for </w:t>
      </w: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conformity assessment of approximated new and global approach' directives (e.g. explosives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for civil  use,  medical  devices, appliances  burning  gaseous fuels, personal protective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equipment); and </w:t>
      </w:r>
      <w:r w:rsidRPr="00C10B77">
        <w:rPr>
          <w:rFonts w:ascii="Times New Roman" w:hAnsi="Times New Roman" w:cs="Times New Roman"/>
          <w:b/>
          <w:i/>
          <w:color w:val="000000"/>
          <w:w w:val="119"/>
          <w:sz w:val="20"/>
          <w:szCs w:val="20"/>
          <w:highlight w:val="yellow"/>
        </w:rPr>
        <w:t xml:space="preserve">market surveillance,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where the Technical and Construction Supervision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Agency is progressing with the provision of market surveillance services for a range of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industrial and consumer products, in particular as regards toy safety.</w:t>
      </w:r>
    </w:p>
    <w:p w:rsidR="00A76502" w:rsidRPr="00C10B77" w:rsidRDefault="00F26290">
      <w:pPr>
        <w:spacing w:before="193" w:after="0" w:line="308" w:lineRule="exact"/>
        <w:ind w:left="1939" w:right="1079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On </w:t>
      </w:r>
      <w:r w:rsidRPr="00C10B77">
        <w:rPr>
          <w:rFonts w:ascii="Times New Roman" w:hAnsi="Times New Roman" w:cs="Times New Roman"/>
          <w:b/>
          <w:i/>
          <w:color w:val="000000"/>
          <w:w w:val="113"/>
          <w:sz w:val="20"/>
          <w:szCs w:val="20"/>
          <w:highlight w:val="yellow"/>
        </w:rPr>
        <w:t xml:space="preserve">food safety and sanitary and phytosanitary (SPS) standards,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Georgia has been working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since 2010 to approximate and implement 272 EU agri-food legal instruments by 2027. To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date, it has approximated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101 veterinary, phytosanitary </w:t>
      </w:r>
      <w:r w:rsidRPr="00C10B77">
        <w:rPr>
          <w:rFonts w:ascii="Times New Roman" w:hAnsi="Times New Roman" w:cs="Times New Roman"/>
          <w:b/>
          <w:color w:val="000000"/>
          <w:w w:val="114"/>
          <w:sz w:val="20"/>
          <w:szCs w:val="20"/>
          <w:highlight w:val="yellow"/>
        </w:rPr>
        <w:t xml:space="preserve">and food safety regulations on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the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basis of an institutional and policy development process guided by the National Food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Agency's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2017-2019 institutional development and reform plan. Implementation of SPS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standards remains a challenge for farmers and food business operators.</w:t>
      </w:r>
    </w:p>
    <w:p w:rsidR="00A76502" w:rsidRPr="00C10B77" w:rsidRDefault="00F26290">
      <w:pPr>
        <w:spacing w:before="219" w:after="0" w:line="300" w:lineRule="exact"/>
        <w:ind w:left="1943" w:right="1080" w:firstLine="1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In 2019, Georgia drafted a national phytosanitary strategy (focus on plant protection), which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MEPA has not yet formally approved, and a national food safety strategy, expected to be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approved in Spring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2020. This will complement the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2016-2020 national animal health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programme which is already in place.</w:t>
      </w:r>
    </w:p>
    <w:p w:rsidR="00A76502" w:rsidRPr="00C10B77" w:rsidRDefault="00F26290">
      <w:pPr>
        <w:spacing w:before="216" w:after="0" w:line="306" w:lineRule="exact"/>
        <w:ind w:left="1943" w:right="1080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The new </w:t>
      </w:r>
      <w:r w:rsidRPr="00C10B77">
        <w:rPr>
          <w:rFonts w:ascii="Times New Roman" w:hAnsi="Times New Roman" w:cs="Times New Roman"/>
          <w:b/>
          <w:i/>
          <w:color w:val="000000"/>
          <w:w w:val="113"/>
          <w:sz w:val="20"/>
          <w:szCs w:val="20"/>
          <w:highlight w:val="yellow"/>
        </w:rPr>
        <w:t xml:space="preserve">Customs Code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entered into force in September. It has three main principles: modem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customs infrastructure, simple and fair procedures, and digital customs, i.e. electronic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provision of all customs services to businesses. On I May, the Government established a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National </w:t>
      </w:r>
      <w:r w:rsidRPr="00C10B77">
        <w:rPr>
          <w:rFonts w:ascii="Times New Roman" w:hAnsi="Times New Roman" w:cs="Times New Roman"/>
          <w:b/>
          <w:i/>
          <w:color w:val="000000"/>
          <w:w w:val="117"/>
          <w:sz w:val="20"/>
          <w:szCs w:val="20"/>
          <w:highlight w:val="yellow"/>
        </w:rPr>
        <w:t xml:space="preserve">Trade Facilitation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>Committee to. oversee obligations under the Trade Facilitation</w:t>
      </w:r>
    </w:p>
    <w:p w:rsidR="00A76502" w:rsidRPr="00C10B77" w:rsidRDefault="00F26290">
      <w:pPr>
        <w:tabs>
          <w:tab w:val="left" w:pos="7084"/>
        </w:tabs>
        <w:spacing w:before="65" w:after="0" w:line="230" w:lineRule="exact"/>
        <w:ind w:left="1943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>Agreement and issues relating to the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>of the authorised economic operator</w:t>
      </w:r>
    </w:p>
    <w:p w:rsidR="00A76502" w:rsidRPr="00C10B77" w:rsidRDefault="00F26290">
      <w:pPr>
        <w:spacing w:before="25" w:after="0" w:line="300" w:lineRule="exact"/>
        <w:ind w:left="1939" w:right="1093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5"/>
          <w:sz w:val="20"/>
          <w:szCs w:val="20"/>
          <w:highlight w:val="yellow"/>
        </w:rPr>
        <w:t xml:space="preserve">system. As regards </w:t>
      </w:r>
      <w:r w:rsidRPr="00C10B77">
        <w:rPr>
          <w:rFonts w:ascii="Times New Roman" w:hAnsi="Times New Roman" w:cs="Times New Roman"/>
          <w:b/>
          <w:i/>
          <w:color w:val="000000"/>
          <w:w w:val="125"/>
          <w:sz w:val="20"/>
          <w:szCs w:val="20"/>
          <w:highlight w:val="yellow"/>
        </w:rPr>
        <w:t xml:space="preserve">rules of origin, </w:t>
      </w:r>
      <w:r w:rsidRPr="00C10B77">
        <w:rPr>
          <w:rFonts w:ascii="Times New Roman" w:hAnsi="Times New Roman" w:cs="Times New Roman"/>
          <w:color w:val="000000"/>
          <w:w w:val="125"/>
          <w:sz w:val="20"/>
          <w:szCs w:val="20"/>
          <w:highlight w:val="yellow"/>
        </w:rPr>
        <w:t xml:space="preserve">further efforts are needed on traceability and the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reliability of proofs of origin in order for products to be able to benefit from preferential </w:t>
      </w: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yellow"/>
        </w:rPr>
        <w:t>treatment.</w:t>
      </w:r>
    </w:p>
    <w:p w:rsidR="00A76502" w:rsidRPr="00C10B77" w:rsidRDefault="00F26290">
      <w:pPr>
        <w:spacing w:before="190" w:after="0" w:line="313" w:lineRule="exact"/>
        <w:ind w:left="1939" w:right="1089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The Ministry of Finance Revenue Service made progress in joining the Common Transit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Convention (CTC) and launching the new computerised transit system. Activities included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developing a set of transit procedures, setting the requirements of future IT design and the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design and implementation of training programmes and modules.</w:t>
      </w:r>
    </w:p>
    <w:p w:rsidR="00A76502" w:rsidRPr="00C10B77" w:rsidRDefault="00F26290">
      <w:pPr>
        <w:framePr w:w="287" w:wrap="auto" w:vAnchor="page" w:hAnchor="page" w:x="10459" w:y="15194"/>
        <w:spacing w:after="0" w:line="184" w:lineRule="atLeast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01"/>
          <w:sz w:val="18"/>
          <w:szCs w:val="18"/>
          <w:highlight w:val="yellow"/>
        </w:rPr>
        <w:t>13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C10B77" w:rsidRDefault="00A76502">
      <w:pPr>
        <w:spacing w:after="0" w:line="310" w:lineRule="exact"/>
        <w:ind w:left="1737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10" w:lineRule="exact"/>
        <w:ind w:left="1737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310" w:lineRule="exact"/>
        <w:ind w:left="1737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254" w:after="0" w:line="310" w:lineRule="exact"/>
        <w:ind w:left="1737" w:right="1238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Georgia maintained its efforts in the area of </w:t>
      </w:r>
      <w:r w:rsidRPr="00C10B77">
        <w:rPr>
          <w:rFonts w:ascii="Times New Roman" w:hAnsi="Times New Roman" w:cs="Times New Roman"/>
          <w:b/>
          <w:i/>
          <w:color w:val="000000"/>
          <w:w w:val="124"/>
          <w:sz w:val="20"/>
          <w:szCs w:val="20"/>
          <w:highlight w:val="yellow"/>
        </w:rPr>
        <w:t xml:space="preserve">digital economy and society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to promote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economic and business opportunities, strengthen digital competences and develop e-trade.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The new broadband development strategy will </w:t>
      </w:r>
      <w:r w:rsidRPr="00C10B77">
        <w:rPr>
          <w:rFonts w:ascii="Times New Roman" w:hAnsi="Times New Roman" w:cs="Times New Roman"/>
          <w:i/>
          <w:color w:val="000000"/>
          <w:w w:val="120"/>
          <w:highlight w:val="yellow"/>
        </w:rPr>
        <w:t xml:space="preserve">inter alia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seek to narrow the digital divide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between   rural   and   urban   areas.   The   promotion   of  ICT   and   development   of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telecommunications infrastructure throughout the country are priorities under the Georgia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2020 socio-economic development strategy.  Draft laws on e-commerce and electronic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communication in line with the relevant EU directives are under consultation.</w:t>
      </w:r>
    </w:p>
    <w:p w:rsidR="00A76502" w:rsidRPr="00C10B77" w:rsidRDefault="00F26290">
      <w:pPr>
        <w:spacing w:before="192" w:after="0" w:line="308" w:lineRule="exact"/>
        <w:ind w:left="1737" w:right="1238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Georgia continues to  implement the DCFTA  provisions on </w:t>
      </w:r>
      <w:r w:rsidRPr="00C10B77">
        <w:rPr>
          <w:rFonts w:ascii="Times New Roman" w:hAnsi="Times New Roman" w:cs="Times New Roman"/>
          <w:b/>
          <w:i/>
          <w:color w:val="000000"/>
          <w:w w:val="123"/>
          <w:sz w:val="20"/>
          <w:szCs w:val="20"/>
          <w:highlight w:val="yellow"/>
        </w:rPr>
        <w:t xml:space="preserve"> competition,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focusing on </w:t>
      </w:r>
      <w:r w:rsidRPr="00C10B77">
        <w:rPr>
          <w:rFonts w:ascii="Times New Roman" w:hAnsi="Times New Roman" w:cs="Times New Roman"/>
          <w:color w:val="000000"/>
          <w:w w:val="126"/>
          <w:sz w:val="20"/>
          <w:szCs w:val="20"/>
          <w:highlight w:val="yellow"/>
        </w:rPr>
        <w:t xml:space="preserve">amending the Competition Law in order to  increase the investigative powers of the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Competition Agency, adopt antitrust procedures and introduce a two-phase merger procedure.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In addition, these amendments aim at ensuring coherence in the application of competition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law in the regulated sectors (communication, energy and finance) and other sectors of industry, and to make structural changes to make investigations more efficient. Further capacity-building of the Georgian Competition Agency. which is now also in charge of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consumer protection, is ongoing.</w:t>
      </w:r>
    </w:p>
    <w:p w:rsidR="00A76502" w:rsidRPr="00C10B77" w:rsidRDefault="00F26290">
      <w:pPr>
        <w:spacing w:before="214" w:after="0" w:line="306" w:lineRule="exact"/>
        <w:ind w:left="1737" w:right="1276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As regards the </w:t>
      </w:r>
      <w:r w:rsidRPr="00C10B77">
        <w:rPr>
          <w:rFonts w:ascii="Times New Roman" w:hAnsi="Times New Roman" w:cs="Times New Roman"/>
          <w:b/>
          <w:i/>
          <w:color w:val="000000"/>
          <w:w w:val="116"/>
          <w:sz w:val="20"/>
          <w:szCs w:val="20"/>
          <w:highlight w:val="yellow"/>
        </w:rPr>
        <w:t xml:space="preserve">transparency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of DCFTA implementation, a number of roundtables were held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for local entrepreneurs and media representatives in the format of a trade advisory group. The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parties identified relevant activities on labour protection and the environment, including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climate action.</w:t>
      </w:r>
    </w:p>
    <w:p w:rsidR="00A76502" w:rsidRPr="00C10B77" w:rsidRDefault="00F26290">
      <w:pPr>
        <w:tabs>
          <w:tab w:val="left" w:pos="9815"/>
        </w:tabs>
        <w:spacing w:before="191" w:after="0" w:line="310" w:lineRule="exact"/>
        <w:ind w:left="1728" w:right="1275" w:firstLine="9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Georgia continues to approximate its </w:t>
      </w:r>
      <w:r w:rsidRPr="00C10B77">
        <w:rPr>
          <w:rFonts w:ascii="Times New Roman" w:hAnsi="Times New Roman" w:cs="Times New Roman"/>
          <w:b/>
          <w:i/>
          <w:color w:val="000000"/>
          <w:w w:val="123"/>
          <w:sz w:val="20"/>
          <w:szCs w:val="20"/>
          <w:highlight w:val="yellow"/>
        </w:rPr>
        <w:t xml:space="preserve">public procurement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legislation to the EU </w:t>
      </w:r>
      <w:r w:rsidRPr="00C10B77">
        <w:rPr>
          <w:rFonts w:ascii="Times New Roman" w:hAnsi="Times New Roman" w:cs="Times New Roman"/>
          <w:color w:val="000000"/>
          <w:highlight w:val="yellow"/>
        </w:rPr>
        <w:tab/>
      </w:r>
      <w:r w:rsidRPr="00C10B77">
        <w:rPr>
          <w:rFonts w:ascii="Times New Roman" w:hAnsi="Times New Roman" w:cs="Times New Roman"/>
          <w:i/>
          <w:color w:val="000000"/>
          <w:w w:val="110"/>
          <w:highlight w:val="yellow"/>
        </w:rPr>
        <w:t xml:space="preserve">("cols.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Amendments  have  been  prepared  to  establish  an  independent  and  impartial  Dispute </w:t>
      </w:r>
      <w:r w:rsidRPr="00C10B77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Resolution Council, to which all legal and physical persons will be entitled to appeal in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connection with tendering procedures. The amendments are expected to grant sufficient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powers to the Review Body to assess direct procurement.</w:t>
      </w:r>
    </w:p>
    <w:p w:rsidR="00A76502" w:rsidRPr="00C10B77" w:rsidRDefault="00F26290">
      <w:pPr>
        <w:spacing w:before="190" w:after="0" w:line="310" w:lineRule="exact"/>
        <w:ind w:left="1728" w:right="1275" w:firstLine="1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With regard to </w:t>
      </w:r>
      <w:r w:rsidRPr="00C10B77">
        <w:rPr>
          <w:rFonts w:ascii="Times New Roman" w:hAnsi="Times New Roman" w:cs="Times New Roman"/>
          <w:b/>
          <w:i/>
          <w:color w:val="000000"/>
          <w:w w:val="120"/>
          <w:sz w:val="20"/>
          <w:szCs w:val="20"/>
          <w:highlight w:val="yellow"/>
        </w:rPr>
        <w:t xml:space="preserve">intellectual property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protection and the enforcement system. Georgia has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advanced its reforms in order to bring Georgian IP laws into line with the Agreement. Further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amendments to </w:t>
      </w:r>
      <w:r w:rsidRPr="00C10B77">
        <w:rPr>
          <w:rFonts w:ascii="Times New Roman" w:hAnsi="Times New Roman" w:cs="Times New Roman"/>
          <w:b/>
          <w:color w:val="000000"/>
          <w:w w:val="117"/>
          <w:sz w:val="20"/>
          <w:szCs w:val="20"/>
          <w:highlight w:val="yellow"/>
        </w:rPr>
        <w:t xml:space="preserve">IPR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laws and in particular on the trademark law are expected to be made in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cooperation with the EU Intellectual Property Office. The national exhaustion regime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concerning trademarks does not currently comply with provisions of the agreement.</w:t>
      </w:r>
    </w:p>
    <w:p w:rsidR="00A76502" w:rsidRPr="00C10B77" w:rsidRDefault="00A76502">
      <w:pPr>
        <w:spacing w:after="0" w:line="230" w:lineRule="exact"/>
        <w:ind w:left="1728"/>
        <w:rPr>
          <w:sz w:val="24"/>
          <w:szCs w:val="24"/>
          <w:highlight w:val="yellow"/>
        </w:rPr>
      </w:pPr>
    </w:p>
    <w:p w:rsidR="00A76502" w:rsidRPr="00C10B77" w:rsidRDefault="00F26290">
      <w:pPr>
        <w:tabs>
          <w:tab w:val="left" w:pos="2428"/>
        </w:tabs>
        <w:spacing w:before="27" w:after="0" w:line="230" w:lineRule="exact"/>
        <w:ind w:left="1728"/>
        <w:rPr>
          <w:highlight w:val="yellow"/>
        </w:rPr>
      </w:pPr>
      <w:r w:rsidRPr="00C10B77">
        <w:rPr>
          <w:rFonts w:ascii="Times New Roman" w:hAnsi="Times New Roman" w:cs="Times New Roman"/>
          <w:b/>
          <w:color w:val="000000"/>
          <w:spacing w:val="-1"/>
          <w:sz w:val="20"/>
          <w:szCs w:val="20"/>
          <w:highlight w:val="yellow"/>
        </w:rPr>
        <w:t xml:space="preserve">4.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b/>
          <w:color w:val="000000"/>
          <w:w w:val="112"/>
          <w:sz w:val="20"/>
          <w:szCs w:val="20"/>
          <w:highlight w:val="yellow"/>
        </w:rPr>
        <w:t>Connectivity, energy, climate action, environment and civil protection</w:t>
      </w:r>
    </w:p>
    <w:p w:rsidR="00A76502" w:rsidRPr="00C10B77" w:rsidRDefault="00A76502">
      <w:pPr>
        <w:spacing w:after="0" w:line="230" w:lineRule="exact"/>
        <w:ind w:left="1742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40" w:after="0" w:line="230" w:lineRule="exact"/>
        <w:ind w:left="1742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>In January, the Commission published an indicative trans-European transport network (TEN-</w:t>
      </w:r>
    </w:p>
    <w:p w:rsidR="00A76502" w:rsidRPr="00C10B77" w:rsidRDefault="00F26290">
      <w:pPr>
        <w:tabs>
          <w:tab w:val="left" w:pos="6028"/>
        </w:tabs>
        <w:spacing w:before="4" w:after="0" w:line="310" w:lineRule="exact"/>
        <w:ind w:left="1728" w:right="1251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T) investment action plan, which identifies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ab/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18 priority projects for Georgia for a value of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EUR 3.4 billion. The indicative core TEN-T network was formally extended to Georgia in </w:t>
      </w:r>
      <w:r w:rsidRPr="00C10B77">
        <w:rPr>
          <w:rFonts w:ascii="Times New Roman" w:hAnsi="Times New Roman" w:cs="Times New Roman"/>
          <w:color w:val="000000"/>
          <w:w w:val="109"/>
          <w:sz w:val="20"/>
          <w:szCs w:val="20"/>
          <w:highlight w:val="yellow"/>
        </w:rPr>
        <w:t>March.</w:t>
      </w:r>
    </w:p>
    <w:p w:rsidR="00A76502" w:rsidRPr="00C10B77" w:rsidRDefault="00F26290">
      <w:pPr>
        <w:spacing w:before="190" w:after="0" w:line="310" w:lineRule="exact"/>
        <w:ind w:left="1728" w:right="1266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As regards </w:t>
      </w:r>
      <w:r w:rsidRPr="00C10B77">
        <w:rPr>
          <w:rFonts w:ascii="Times New Roman" w:hAnsi="Times New Roman" w:cs="Times New Roman"/>
          <w:b/>
          <w:i/>
          <w:color w:val="000000"/>
          <w:w w:val="114"/>
          <w:sz w:val="20"/>
          <w:szCs w:val="20"/>
          <w:highlight w:val="yellow"/>
        </w:rPr>
        <w:t xml:space="preserve">environmental protection,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the Government adopted and sent to Parliament a new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Forest Code in February. Parliament adopted it at first reading on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18 October. The Waste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Management Code introduced the concept of extended producer responsibility for specific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>waste streams, which is expected to be enacted from December. The construction of the first EU-standard waste landfill  in the Imereti  region was postponed in  response to local</w:t>
      </w:r>
    </w:p>
    <w:p w:rsidR="00A76502" w:rsidRPr="00C10B77" w:rsidRDefault="00F26290">
      <w:pPr>
        <w:framePr w:w="292" w:wrap="auto" w:vAnchor="page" w:hAnchor="page" w:x="10271" w:y="15271"/>
        <w:spacing w:after="0" w:line="180" w:lineRule="atLeast"/>
        <w:rPr>
          <w:highlight w:val="yellow"/>
        </w:rPr>
      </w:pPr>
      <w:r w:rsidRPr="00C10B77">
        <w:rPr>
          <w:rFonts w:ascii="Times New Roman" w:hAnsi="Times New Roman" w:cs="Times New Roman"/>
          <w:b/>
          <w:color w:val="000000"/>
          <w:sz w:val="18"/>
          <w:szCs w:val="18"/>
          <w:highlight w:val="yellow"/>
        </w:rPr>
        <w:t>14</w:t>
      </w:r>
    </w:p>
    <w:p w:rsidR="00A76502" w:rsidRPr="00C10B77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C10B77">
          <w:pgSz w:w="11900" w:h="15500"/>
          <w:pgMar w:top="-20" w:right="0" w:bottom="-20" w:left="0" w:header="0" w:footer="0" w:gutter="0"/>
          <w:cols w:space="720"/>
        </w:sectPr>
      </w:pPr>
    </w:p>
    <w:p w:rsidR="00A76502" w:rsidRPr="00C10B77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C10B77" w:rsidRDefault="00A76502">
      <w:pPr>
        <w:spacing w:after="0" w:line="230" w:lineRule="exact"/>
        <w:ind w:left="2016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230" w:lineRule="exact"/>
        <w:ind w:left="2016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230" w:lineRule="exact"/>
        <w:ind w:left="2016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230" w:lineRule="exact"/>
        <w:ind w:left="2016"/>
        <w:rPr>
          <w:sz w:val="24"/>
          <w:szCs w:val="24"/>
          <w:highlight w:val="yellow"/>
        </w:rPr>
      </w:pPr>
    </w:p>
    <w:p w:rsidR="00A76502" w:rsidRPr="00C10B77" w:rsidRDefault="00A76502">
      <w:pPr>
        <w:spacing w:after="0" w:line="230" w:lineRule="exact"/>
        <w:ind w:left="2016"/>
        <w:rPr>
          <w:sz w:val="24"/>
          <w:szCs w:val="24"/>
          <w:highlight w:val="yellow"/>
        </w:rPr>
      </w:pPr>
    </w:p>
    <w:p w:rsidR="00A76502" w:rsidRPr="00C10B77" w:rsidRDefault="00F26290">
      <w:pPr>
        <w:spacing w:before="40" w:after="0" w:line="230" w:lineRule="exact"/>
        <w:ind w:left="2016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>demonstrations. The production, use and import of plastic bags has been banned since</w:t>
      </w:r>
    </w:p>
    <w:p w:rsidR="00A76502" w:rsidRPr="00C10B77" w:rsidRDefault="00F26290">
      <w:pPr>
        <w:spacing w:before="70" w:after="0" w:line="230" w:lineRule="exact"/>
        <w:ind w:left="2054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1 April. MEPA launched an air quality portal in January.</w:t>
      </w:r>
    </w:p>
    <w:p w:rsidR="00A76502" w:rsidRPr="00C10B77" w:rsidRDefault="00F26290">
      <w:pPr>
        <w:spacing w:before="206" w:after="0" w:line="308" w:lineRule="exact"/>
        <w:ind w:left="2011" w:right="1007" w:firstLine="4"/>
        <w:jc w:val="both"/>
        <w:rPr>
          <w:highlight w:val="yellow"/>
        </w:rPr>
      </w:pP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The Ministry of Economy and Sustainable Development continued to draft </w:t>
      </w:r>
      <w:r w:rsidRPr="00C10B77">
        <w:rPr>
          <w:rFonts w:ascii="Times New Roman" w:hAnsi="Times New Roman" w:cs="Times New Roman"/>
          <w:i/>
          <w:color w:val="000000"/>
          <w:w w:val="121"/>
          <w:sz w:val="20"/>
          <w:szCs w:val="20"/>
          <w:highlight w:val="yellow"/>
        </w:rPr>
        <w:t xml:space="preserve">energy </w:t>
      </w: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sector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legislation. The first key deadlines for implementation of energy acquis under the Association </w:t>
      </w:r>
      <w:r w:rsidRPr="00C10B77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Agreement and the Energy Community Treaty have been missed. In November 2019, the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Energy Community Secretariat estimated Georgia's overall level of implementation of the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energy acquis at 25%'4. The Energy and Water Supply Law and the Renewable Energy Law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 xml:space="preserve">were adopted by the Parliament on </w:t>
      </w:r>
      <w:r w:rsidRPr="00C10B77">
        <w:rPr>
          <w:rFonts w:ascii="Times New Roman" w:hAnsi="Times New Roman" w:cs="Times New Roman"/>
          <w:color w:val="000000"/>
          <w:w w:val="109"/>
          <w:sz w:val="20"/>
          <w:szCs w:val="20"/>
          <w:highlight w:val="yellow"/>
        </w:rPr>
        <w:t>13 December 2019.</w:t>
      </w:r>
    </w:p>
    <w:p w:rsidR="00A76502" w:rsidRDefault="00F26290">
      <w:pPr>
        <w:spacing w:before="191" w:after="0" w:line="310" w:lineRule="exact"/>
        <w:ind w:left="2011" w:right="1021" w:firstLine="4"/>
        <w:jc w:val="both"/>
      </w:pP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The Government is focused on promoting the construction of new hydropower plants and </w:t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expanding the electricity transmission network to improve security of supply and facilitate </w:t>
      </w:r>
      <w:r w:rsidRPr="00C10B77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the development of wholesale power exchange and export.</w:t>
      </w:r>
    </w:p>
    <w:p w:rsidR="00A76502" w:rsidRDefault="00F26290">
      <w:pPr>
        <w:spacing w:before="194" w:after="0" w:line="306" w:lineRule="exact"/>
        <w:ind w:left="2016" w:right="1021" w:firstLine="9"/>
        <w:jc w:val="both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Regarding </w:t>
      </w:r>
      <w:r>
        <w:rPr>
          <w:rFonts w:ascii="Times New Roman" w:hAnsi="Times New Roman" w:cs="Times New Roman"/>
          <w:i/>
          <w:color w:val="000000"/>
          <w:w w:val="119"/>
          <w:sz w:val="20"/>
          <w:szCs w:val="20"/>
        </w:rPr>
        <w:t xml:space="preserve">civil protection,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Georgia continues its effort to cooperate more closely with the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Union Civil Protection Mechanism, The Emergency Management Service returned under the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helm of the Ministry of Internal Affairs as a state subordinated entity, with its own budgeting,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resources and human resources system as of I January 2019.</w:t>
      </w:r>
    </w:p>
    <w:p w:rsidR="00A76502" w:rsidRDefault="00A76502">
      <w:pPr>
        <w:spacing w:after="0" w:line="230" w:lineRule="exact"/>
        <w:ind w:left="2016"/>
        <w:rPr>
          <w:sz w:val="24"/>
          <w:szCs w:val="24"/>
        </w:rPr>
      </w:pPr>
    </w:p>
    <w:p w:rsidR="00A76502" w:rsidRDefault="00F26290">
      <w:pPr>
        <w:tabs>
          <w:tab w:val="left" w:pos="2707"/>
        </w:tabs>
        <w:spacing w:before="43" w:after="0" w:line="230" w:lineRule="exact"/>
        <w:ind w:left="2016"/>
      </w:pPr>
      <w:r>
        <w:rPr>
          <w:rFonts w:ascii="Times New Roman" w:hAnsi="Times New Roman" w:cs="Times New Roman"/>
          <w:b/>
          <w:color w:val="000000"/>
          <w:w w:val="111"/>
          <w:sz w:val="20"/>
          <w:szCs w:val="20"/>
        </w:rPr>
        <w:t>5.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11"/>
          <w:sz w:val="20"/>
          <w:szCs w:val="20"/>
        </w:rPr>
        <w:t>Mobility and 'people to people'</w:t>
      </w:r>
    </w:p>
    <w:p w:rsidR="00A76502" w:rsidRDefault="00F26290">
      <w:pPr>
        <w:spacing w:before="217" w:after="0" w:line="300" w:lineRule="exact"/>
        <w:ind w:left="2016" w:right="1021"/>
        <w:jc w:val="both"/>
      </w:pP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MoIDPLHSA established a dedicated unit to deal with labour (circular) migration. Georgia </w:t>
      </w:r>
      <w:r w:rsidRPr="007E0C90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has continued  bilateral  consultations  with  EU  Member  States on cooperation  in the </w:t>
      </w:r>
      <w:r w:rsidRPr="007E0C90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framework of the </w:t>
      </w:r>
      <w:r w:rsidRPr="007E0C90">
        <w:rPr>
          <w:rFonts w:ascii="Times New Roman" w:hAnsi="Times New Roman" w:cs="Times New Roman"/>
          <w:i/>
          <w:color w:val="000000"/>
          <w:w w:val="113"/>
          <w:sz w:val="20"/>
          <w:szCs w:val="20"/>
          <w:highlight w:val="yellow"/>
        </w:rPr>
        <w:t>mobility partnership</w:t>
      </w:r>
      <w:r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.</w:t>
      </w:r>
    </w:p>
    <w:p w:rsidR="00A76502" w:rsidRPr="007E0C90" w:rsidRDefault="00F26290">
      <w:pPr>
        <w:spacing w:before="214" w:after="0" w:line="308" w:lineRule="exact"/>
        <w:ind w:left="2011" w:right="1007" w:firstLine="14"/>
        <w:jc w:val="both"/>
        <w:rPr>
          <w:highlight w:val="yellow"/>
        </w:rPr>
      </w:pPr>
      <w:r w:rsidRPr="007E0C90">
        <w:rPr>
          <w:rFonts w:ascii="Times New Roman" w:hAnsi="Times New Roman" w:cs="Times New Roman"/>
          <w:b/>
          <w:color w:val="000000"/>
          <w:w w:val="113"/>
          <w:sz w:val="20"/>
          <w:szCs w:val="20"/>
          <w:highlight w:val="yellow"/>
        </w:rPr>
        <w:t xml:space="preserve">In March, the Government </w:t>
      </w:r>
      <w:r w:rsidRPr="007E0C90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announced a new </w:t>
      </w:r>
      <w:r w:rsidRPr="007E0C90">
        <w:rPr>
          <w:rFonts w:ascii="Times New Roman" w:hAnsi="Times New Roman" w:cs="Times New Roman"/>
          <w:i/>
          <w:color w:val="000000"/>
          <w:w w:val="113"/>
          <w:sz w:val="20"/>
          <w:szCs w:val="20"/>
          <w:highlight w:val="yellow"/>
        </w:rPr>
        <w:t xml:space="preserve">education </w:t>
      </w:r>
      <w:r w:rsidRPr="007E0C90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 xml:space="preserve">programme, with a declared increase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of state funding to 6% of GDP by 2022. State funding of the Ministry of Education, Science, </w:t>
      </w:r>
      <w:r w:rsidRPr="007E0C90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Culture and Sport increased by </w:t>
      </w:r>
      <w:r w:rsidRPr="007E0C90">
        <w:rPr>
          <w:rFonts w:ascii="Times New Roman" w:hAnsi="Times New Roman" w:cs="Times New Roman"/>
          <w:b/>
          <w:color w:val="000000"/>
          <w:w w:val="121"/>
          <w:sz w:val="20"/>
          <w:szCs w:val="20"/>
          <w:highlight w:val="yellow"/>
        </w:rPr>
        <w:t xml:space="preserve">14% </w:t>
      </w:r>
      <w:r w:rsidRPr="007E0C90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over the year (reaching 2.8% of GDP, i.e. a 0.05% </w:t>
      </w:r>
      <w:r w:rsidRPr="007E0C90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increase compared to 2018). The 2017-2021 overarching strategy for education and science is </w:t>
      </w:r>
      <w:r w:rsidRPr="007E0C90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being reviewed in the light of the new wave of education reform. A new VET Law, which </w:t>
      </w:r>
      <w:r w:rsidRPr="007E0C90">
        <w:rPr>
          <w:rFonts w:ascii="Times New Roman" w:hAnsi="Times New Roman" w:cs="Times New Roman"/>
          <w:color w:val="000000"/>
          <w:w w:val="121"/>
          <w:sz w:val="20"/>
          <w:szCs w:val="20"/>
          <w:highlight w:val="yellow"/>
        </w:rPr>
        <w:t xml:space="preserve">created new life-long learning opportunities for young people and adults, was adopted in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April. Georgia is making progress in aligning its quality assurance mechanism with the AA. </w:t>
      </w:r>
      <w:r w:rsidRPr="007E0C90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The National  Centre for Educational  Quality Enhancement became a member of the </w:t>
      </w:r>
      <w:r w:rsidRPr="007E0C90">
        <w:rPr>
          <w:rFonts w:ascii="Times New Roman" w:hAnsi="Times New Roman" w:cs="Times New Roman"/>
          <w:color w:val="000000"/>
          <w:w w:val="119"/>
          <w:sz w:val="20"/>
          <w:szCs w:val="20"/>
          <w:highlight w:val="yellow"/>
        </w:rPr>
        <w:t xml:space="preserve">European Association for Quality Assurance in Higher Education and was included in the European Higher Education Quality Assurance Register. Georgia continues its successful </w:t>
      </w:r>
      <w:r w:rsidRPr="007E0C90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Erasmus+ participation in the areas of higher education and youth. It is one of the most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successful countries as regards intern ational credit mobility scholarships, ranking 6th of </w:t>
      </w:r>
      <w:r w:rsidRPr="007E0C90">
        <w:rPr>
          <w:rFonts w:ascii="Times New Roman" w:hAnsi="Times New Roman" w:cs="Times New Roman"/>
          <w:b/>
          <w:color w:val="000000"/>
          <w:w w:val="115"/>
          <w:sz w:val="20"/>
          <w:szCs w:val="20"/>
          <w:highlight w:val="yellow"/>
        </w:rPr>
        <w:t xml:space="preserve">141 </w:t>
      </w: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participating countries. The European School in Georgia (a fully-fledged secondary school)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was officially launched in September, with the aim of bringing together students from across </w:t>
      </w:r>
      <w:r w:rsidRPr="007E0C90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the Eastern Partnership region </w:t>
      </w:r>
      <w:r w:rsidRPr="007E0C90">
        <w:rPr>
          <w:rFonts w:ascii="Times New Roman" w:hAnsi="Times New Roman" w:cs="Times New Roman"/>
          <w:b/>
          <w:color w:val="000000"/>
          <w:w w:val="118"/>
          <w:sz w:val="20"/>
          <w:szCs w:val="20"/>
          <w:highlight w:val="yellow"/>
        </w:rPr>
        <w:t xml:space="preserve">and </w:t>
      </w:r>
      <w:r w:rsidRPr="007E0C90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offering a unique curriculum inspired by European and </w:t>
      </w:r>
      <w:r w:rsidRPr="007E0C90">
        <w:rPr>
          <w:rFonts w:ascii="Times New Roman" w:hAnsi="Times New Roman" w:cs="Times New Roman"/>
          <w:color w:val="000000"/>
          <w:w w:val="112"/>
          <w:sz w:val="20"/>
          <w:szCs w:val="20"/>
          <w:highlight w:val="yellow"/>
        </w:rPr>
        <w:t>international values of multiculturalism, peace and tolerance.</w:t>
      </w:r>
    </w:p>
    <w:p w:rsidR="00A76502" w:rsidRPr="007E0C90" w:rsidRDefault="00F26290">
      <w:pPr>
        <w:spacing w:before="191" w:after="0" w:line="310" w:lineRule="exact"/>
        <w:ind w:left="2016" w:right="1016" w:firstLine="9"/>
        <w:jc w:val="both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In the </w:t>
      </w:r>
      <w:r w:rsidRPr="007E0C90">
        <w:rPr>
          <w:rFonts w:ascii="Times New Roman" w:hAnsi="Times New Roman" w:cs="Times New Roman"/>
          <w:b/>
          <w:color w:val="000000"/>
          <w:w w:val="116"/>
          <w:sz w:val="20"/>
          <w:szCs w:val="20"/>
          <w:highlight w:val="yellow"/>
        </w:rPr>
        <w:t xml:space="preserve">field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of </w:t>
      </w:r>
      <w:r w:rsidRPr="007E0C90">
        <w:rPr>
          <w:rFonts w:ascii="Times New Roman" w:hAnsi="Times New Roman" w:cs="Times New Roman"/>
          <w:i/>
          <w:color w:val="000000"/>
          <w:w w:val="116"/>
          <w:sz w:val="20"/>
          <w:szCs w:val="20"/>
          <w:highlight w:val="yellow"/>
        </w:rPr>
        <w:t xml:space="preserve">culture,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in April Georgia launched a large-scale campaign (Georgia, Europe), </w:t>
      </w:r>
      <w:r w:rsidRPr="007E0C90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which aims to raise awareness of the EU in Georgia and </w:t>
      </w:r>
      <w:r w:rsidRPr="007E0C90">
        <w:rPr>
          <w:rFonts w:ascii="Times New Roman" w:hAnsi="Times New Roman" w:cs="Times New Roman"/>
          <w:i/>
          <w:color w:val="000000"/>
          <w:w w:val="124"/>
          <w:highlight w:val="yellow"/>
        </w:rPr>
        <w:t xml:space="preserve">vice versa. </w:t>
      </w:r>
      <w:r w:rsidRPr="007E0C90">
        <w:rPr>
          <w:rFonts w:ascii="Times New Roman" w:hAnsi="Times New Roman" w:cs="Times New Roman"/>
          <w:color w:val="000000"/>
          <w:w w:val="124"/>
          <w:sz w:val="20"/>
          <w:szCs w:val="20"/>
          <w:highlight w:val="yellow"/>
        </w:rPr>
        <w:t xml:space="preserve">It is preparing to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>participate as a 'guest country' at Europalia and the Paris Book Fair in 2021.</w:t>
      </w:r>
    </w:p>
    <w:p w:rsidR="00A76502" w:rsidRPr="007E0C90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7E0C90">
          <w:pgSz w:w="11900" w:h="15500"/>
          <w:pgMar w:top="-20" w:right="0" w:bottom="-20" w:left="0" w:header="0" w:footer="0" w:gutter="0"/>
          <w:cols w:space="720"/>
        </w:sectPr>
      </w:pPr>
    </w:p>
    <w:p w:rsidR="00A76502" w:rsidRPr="007E0C90" w:rsidRDefault="00A76502">
      <w:pPr>
        <w:spacing w:after="0" w:line="161" w:lineRule="exact"/>
        <w:ind w:left="2025"/>
        <w:rPr>
          <w:sz w:val="24"/>
          <w:szCs w:val="24"/>
          <w:highlight w:val="yellow"/>
        </w:rPr>
      </w:pPr>
    </w:p>
    <w:p w:rsidR="00A76502" w:rsidRPr="007E0C90" w:rsidRDefault="00F26290">
      <w:pPr>
        <w:spacing w:before="80" w:after="0" w:line="161" w:lineRule="exact"/>
        <w:ind w:left="2025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108"/>
          <w:sz w:val="14"/>
          <w:szCs w:val="14"/>
          <w:highlight w:val="yellow"/>
        </w:rPr>
        <w:t>is</w:t>
      </w:r>
    </w:p>
    <w:p w:rsidR="00A76502" w:rsidRPr="007E0C90" w:rsidRDefault="00F26290">
      <w:pPr>
        <w:spacing w:after="0" w:line="128" w:lineRule="exact"/>
        <w:ind w:left="2198"/>
        <w:rPr>
          <w:sz w:val="24"/>
          <w:szCs w:val="24"/>
          <w:highlight w:val="yellow"/>
        </w:rPr>
      </w:pPr>
      <w:r w:rsidRPr="007E0C90">
        <w:rPr>
          <w:sz w:val="24"/>
          <w:szCs w:val="24"/>
          <w:highlight w:val="yellow"/>
        </w:rPr>
        <w:br w:type="column"/>
      </w:r>
    </w:p>
    <w:p w:rsidR="00A76502" w:rsidRPr="007E0C90" w:rsidRDefault="00A76502">
      <w:pPr>
        <w:spacing w:after="0" w:line="128" w:lineRule="exact"/>
        <w:ind w:left="2198"/>
        <w:rPr>
          <w:sz w:val="24"/>
          <w:szCs w:val="24"/>
          <w:highlight w:val="yellow"/>
        </w:rPr>
      </w:pPr>
    </w:p>
    <w:p w:rsidR="00A76502" w:rsidRPr="007E0C90" w:rsidRDefault="00830553">
      <w:pPr>
        <w:spacing w:before="117" w:after="0" w:line="128" w:lineRule="exact"/>
        <w:ind w:left="10"/>
        <w:rPr>
          <w:highlight w:val="yellow"/>
        </w:rPr>
      </w:pPr>
      <w:hyperlink r:id="rId8" w:history="1">
        <w:r w:rsidR="00F26290" w:rsidRPr="007E0C90">
          <w:rPr>
            <w:rFonts w:ascii="Times New Roman" w:hAnsi="Times New Roman" w:cs="Times New Roman"/>
            <w:color w:val="000000"/>
            <w:w w:val="120"/>
            <w:sz w:val="16"/>
            <w:szCs w:val="16"/>
            <w:highlight w:val="yellow"/>
          </w:rPr>
          <w:t>https://www.energy-community.org/implementation/IR2019.htmI</w:t>
        </w:r>
      </w:hyperlink>
    </w:p>
    <w:p w:rsidR="00A76502" w:rsidRPr="007E0C90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7E0C90">
          <w:type w:val="continuous"/>
          <w:pgSz w:w="11900" w:h="15500"/>
          <w:pgMar w:top="-20" w:right="0" w:bottom="-20" w:left="0" w:header="0" w:footer="0" w:gutter="0"/>
          <w:cols w:num="2" w:space="720" w:equalWidth="0">
            <w:col w:w="2148" w:space="40"/>
            <w:col w:w="9552" w:space="160"/>
          </w:cols>
        </w:sectPr>
      </w:pPr>
    </w:p>
    <w:p w:rsidR="00A76502" w:rsidRPr="007E0C90" w:rsidRDefault="00F26290">
      <w:pPr>
        <w:framePr w:w="287" w:wrap="auto" w:vAnchor="page" w:hAnchor="page" w:x="10535" w:y="15214"/>
        <w:spacing w:after="0" w:line="160" w:lineRule="atLeast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114"/>
          <w:sz w:val="16"/>
          <w:szCs w:val="16"/>
          <w:highlight w:val="yellow"/>
        </w:rPr>
        <w:t>15</w:t>
      </w:r>
    </w:p>
    <w:p w:rsidR="00A76502" w:rsidRPr="007E0C90" w:rsidRDefault="00A76502">
      <w:pPr>
        <w:spacing w:after="0" w:line="240" w:lineRule="exact"/>
        <w:rPr>
          <w:sz w:val="12"/>
          <w:szCs w:val="12"/>
          <w:highlight w:val="yellow"/>
        </w:rPr>
        <w:sectPr w:rsidR="00A76502" w:rsidRPr="007E0C90">
          <w:type w:val="continuous"/>
          <w:pgSz w:w="11900" w:h="15500"/>
          <w:pgMar w:top="-20" w:right="0" w:bottom="-20" w:left="0" w:header="0" w:footer="0" w:gutter="0"/>
          <w:cols w:space="720"/>
        </w:sectPr>
      </w:pPr>
    </w:p>
    <w:p w:rsidR="00A76502" w:rsidRPr="007E0C90" w:rsidRDefault="00A76502">
      <w:pPr>
        <w:spacing w:after="0" w:line="240" w:lineRule="exact"/>
        <w:rPr>
          <w:rFonts w:ascii="Times New Roman" w:hAnsi="Times New Roman" w:cs="Times New Roman"/>
          <w:sz w:val="24"/>
          <w:highlight w:val="yellow"/>
        </w:rPr>
      </w:pPr>
    </w:p>
    <w:p w:rsidR="00A76502" w:rsidRPr="007E0C90" w:rsidRDefault="00A76502">
      <w:pPr>
        <w:spacing w:after="0" w:line="310" w:lineRule="exact"/>
        <w:ind w:left="1977"/>
        <w:rPr>
          <w:sz w:val="24"/>
          <w:szCs w:val="24"/>
          <w:highlight w:val="yellow"/>
        </w:rPr>
      </w:pPr>
    </w:p>
    <w:p w:rsidR="00A76502" w:rsidRPr="007E0C90" w:rsidRDefault="00A76502">
      <w:pPr>
        <w:spacing w:after="0" w:line="310" w:lineRule="exact"/>
        <w:ind w:left="1977"/>
        <w:rPr>
          <w:sz w:val="24"/>
          <w:szCs w:val="24"/>
          <w:highlight w:val="yellow"/>
        </w:rPr>
      </w:pPr>
    </w:p>
    <w:p w:rsidR="00A76502" w:rsidRPr="007E0C90" w:rsidRDefault="00A76502">
      <w:pPr>
        <w:spacing w:after="0" w:line="310" w:lineRule="exact"/>
        <w:ind w:left="1977"/>
        <w:rPr>
          <w:sz w:val="24"/>
          <w:szCs w:val="24"/>
          <w:highlight w:val="yellow"/>
        </w:rPr>
      </w:pPr>
    </w:p>
    <w:p w:rsidR="00A76502" w:rsidRPr="007E0C90" w:rsidRDefault="00F26290">
      <w:pPr>
        <w:spacing w:before="294" w:after="0" w:line="310" w:lineRule="exact"/>
        <w:ind w:left="1977" w:right="1031" w:firstLine="4"/>
        <w:jc w:val="both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Georgia has continued to fulfil its AA obligations and is approximating its legislation to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achieve full compliance with the EU Directive on </w:t>
      </w:r>
      <w:r w:rsidRPr="007E0C90">
        <w:rPr>
          <w:rFonts w:ascii="Times New Roman" w:hAnsi="Times New Roman" w:cs="Times New Roman"/>
          <w:b/>
          <w:color w:val="000000"/>
          <w:w w:val="116"/>
          <w:sz w:val="20"/>
          <w:szCs w:val="20"/>
          <w:highlight w:val="yellow"/>
        </w:rPr>
        <w:t xml:space="preserve">audio-visual media services.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In line with </w:t>
      </w: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national legislation, the Georgian National Communications Commission was charged with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 xml:space="preserve">promoting, developing and monitoring media literacy. It is implementing legislation aligned </w:t>
      </w:r>
      <w:r w:rsidRPr="007E0C90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with the latest EU Directive on radio equipment15EUR.</w:t>
      </w:r>
    </w:p>
    <w:p w:rsidR="00A76502" w:rsidRPr="007E0C90" w:rsidRDefault="00F26290">
      <w:pPr>
        <w:spacing w:before="192" w:after="0" w:line="308" w:lineRule="exact"/>
        <w:ind w:left="1987" w:right="1021"/>
        <w:jc w:val="both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As  part  of its  structural  reform  plan,  the  Government  abolished  the </w:t>
      </w:r>
      <w:r w:rsidRPr="007E0C90">
        <w:rPr>
          <w:rFonts w:ascii="Times New Roman" w:hAnsi="Times New Roman" w:cs="Times New Roman"/>
          <w:b/>
          <w:color w:val="000000"/>
          <w:w w:val="122"/>
          <w:sz w:val="20"/>
          <w:szCs w:val="20"/>
          <w:highlight w:val="yellow"/>
        </w:rPr>
        <w:t xml:space="preserve"> Youth </w:t>
      </w:r>
      <w:r w:rsidRPr="007E0C90">
        <w:rPr>
          <w:rFonts w:ascii="Times New Roman" w:hAnsi="Times New Roman" w:cs="Times New Roman"/>
          <w:color w:val="000000"/>
          <w:w w:val="122"/>
          <w:sz w:val="20"/>
          <w:szCs w:val="20"/>
          <w:highlight w:val="yellow"/>
        </w:rPr>
        <w:t xml:space="preserve"> Policy </w:t>
      </w:r>
      <w:r w:rsidRPr="007E0C90">
        <w:rPr>
          <w:rFonts w:ascii="Times New Roman" w:hAnsi="Times New Roman" w:cs="Times New Roman"/>
          <w:color w:val="000000"/>
          <w:w w:val="118"/>
          <w:sz w:val="20"/>
          <w:szCs w:val="20"/>
          <w:highlight w:val="yellow"/>
        </w:rPr>
        <w:t xml:space="preserve">Management Department of the Ministry of Education, Science, Culture and Sport and two legal entities of public law (LEPLs) — the Children and Youth Development Fund and the </w:t>
      </w: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Children and Youth National Centre. It replaced these in August with a new Youth Agency </w:t>
      </w:r>
      <w:r w:rsidRPr="007E0C90">
        <w:rPr>
          <w:rFonts w:ascii="Times New Roman" w:hAnsi="Times New Roman" w:cs="Times New Roman"/>
          <w:color w:val="000000"/>
          <w:w w:val="120"/>
          <w:sz w:val="20"/>
          <w:szCs w:val="20"/>
          <w:highlight w:val="yellow"/>
        </w:rPr>
        <w:t xml:space="preserve">LEPL under the Prime Minister's Office. The Agency took over the youth portfolio and is </w:t>
      </w:r>
      <w:r w:rsidRPr="007E0C90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>responsible for organising and implementing programmes and activities for young people.</w:t>
      </w:r>
    </w:p>
    <w:p w:rsidR="00A76502" w:rsidRPr="007E0C90" w:rsidRDefault="00F26290">
      <w:pPr>
        <w:spacing w:before="191" w:after="0" w:line="310" w:lineRule="exact"/>
        <w:ind w:left="1987" w:right="1016" w:firstLine="14"/>
        <w:jc w:val="both"/>
        <w:rPr>
          <w:highlight w:val="yellow"/>
        </w:rPr>
      </w:pPr>
      <w:r w:rsidRPr="007E0C90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In  the area of cooperation  in </w:t>
      </w:r>
      <w:r w:rsidRPr="007E0C90">
        <w:rPr>
          <w:rFonts w:ascii="Times New Roman" w:hAnsi="Times New Roman" w:cs="Times New Roman"/>
          <w:b/>
          <w:i/>
          <w:color w:val="000000"/>
          <w:w w:val="123"/>
          <w:highlight w:val="yellow"/>
        </w:rPr>
        <w:t xml:space="preserve">research and innovation. </w:t>
      </w:r>
      <w:r w:rsidRPr="007E0C90">
        <w:rPr>
          <w:rFonts w:ascii="Times New Roman" w:hAnsi="Times New Roman" w:cs="Times New Roman"/>
          <w:color w:val="000000"/>
          <w:w w:val="123"/>
          <w:sz w:val="20"/>
          <w:szCs w:val="20"/>
          <w:highlight w:val="yellow"/>
        </w:rPr>
        <w:t xml:space="preserve">Georgia started the gradual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implementation of Horizon 2020 policy support facility recommendations. These focused on: </w:t>
      </w:r>
      <w:r w:rsidRPr="007E0C90">
        <w:rPr>
          <w:rFonts w:ascii="Times New Roman" w:hAnsi="Times New Roman" w:cs="Times New Roman"/>
          <w:color w:val="000000"/>
          <w:w w:val="114"/>
          <w:sz w:val="20"/>
          <w:szCs w:val="20"/>
          <w:highlight w:val="yellow"/>
        </w:rPr>
        <w:t xml:space="preserve">prioritising/identifying promising research fields; promoting science-business links; enhanced </w:t>
      </w:r>
      <w:r w:rsidRPr="007E0C90">
        <w:rPr>
          <w:rFonts w:ascii="Times New Roman" w:hAnsi="Times New Roman" w:cs="Times New Roman"/>
          <w:color w:val="000000"/>
          <w:w w:val="116"/>
          <w:sz w:val="20"/>
          <w:szCs w:val="20"/>
          <w:highlight w:val="yellow"/>
        </w:rPr>
        <w:t>cooperation opportunities at institutional level; and measures to encourage the performance-</w:t>
      </w:r>
      <w:r w:rsidRPr="007E0C90">
        <w:rPr>
          <w:highlight w:val="yellow"/>
        </w:rPr>
        <w:br/>
      </w:r>
      <w:r w:rsidRPr="007E0C90">
        <w:rPr>
          <w:rFonts w:ascii="Times New Roman" w:hAnsi="Times New Roman" w:cs="Times New Roman"/>
          <w:color w:val="000000"/>
          <w:w w:val="113"/>
          <w:sz w:val="20"/>
          <w:szCs w:val="20"/>
          <w:highlight w:val="yellow"/>
        </w:rPr>
        <w:t>based funding of research entities.</w:t>
      </w:r>
    </w:p>
    <w:p w:rsidR="00A76502" w:rsidRDefault="00F26290">
      <w:pPr>
        <w:spacing w:before="219" w:after="0" w:line="300" w:lineRule="exact"/>
        <w:ind w:left="1991" w:right="1008"/>
        <w:jc w:val="both"/>
      </w:pPr>
      <w:r w:rsidRPr="007E0C90">
        <w:rPr>
          <w:rFonts w:ascii="Times New Roman" w:hAnsi="Times New Roman" w:cs="Times New Roman"/>
          <w:color w:val="000000"/>
          <w:w w:val="117"/>
          <w:sz w:val="20"/>
          <w:szCs w:val="20"/>
          <w:highlight w:val="yellow"/>
        </w:rPr>
        <w:t xml:space="preserve">Georgia took steps to internationalise its science sector and in September became a member </w:t>
      </w:r>
      <w:r w:rsidRPr="007E0C90">
        <w:rPr>
          <w:rFonts w:ascii="Times New Roman" w:hAnsi="Times New Roman" w:cs="Times New Roman"/>
          <w:color w:val="000000"/>
          <w:w w:val="115"/>
          <w:sz w:val="20"/>
          <w:szCs w:val="20"/>
          <w:highlight w:val="yellow"/>
        </w:rPr>
        <w:t xml:space="preserve">of the EURAXESS research network. This will contribute to its integration into the European </w:t>
      </w:r>
      <w:r w:rsidRPr="007E0C90">
        <w:rPr>
          <w:rFonts w:ascii="Times New Roman" w:hAnsi="Times New Roman" w:cs="Times New Roman"/>
          <w:color w:val="000000"/>
          <w:w w:val="111"/>
          <w:sz w:val="20"/>
          <w:szCs w:val="20"/>
          <w:highlight w:val="yellow"/>
        </w:rPr>
        <w:t>research area.</w:t>
      </w:r>
    </w:p>
    <w:p w:rsidR="00A76502" w:rsidRDefault="00A76502">
      <w:pPr>
        <w:spacing w:after="0" w:line="230" w:lineRule="exact"/>
        <w:ind w:left="1991"/>
        <w:rPr>
          <w:sz w:val="24"/>
          <w:szCs w:val="24"/>
        </w:rPr>
      </w:pPr>
    </w:p>
    <w:p w:rsidR="00A76502" w:rsidRDefault="00F26290">
      <w:pPr>
        <w:tabs>
          <w:tab w:val="left" w:pos="2702"/>
        </w:tabs>
        <w:spacing w:before="57" w:after="0" w:line="230" w:lineRule="exact"/>
        <w:ind w:left="1991"/>
      </w:pPr>
      <w:r>
        <w:rPr>
          <w:rFonts w:ascii="Times New Roman" w:hAnsi="Times New Roman" w:cs="Times New Roman"/>
          <w:b/>
          <w:color w:val="000000"/>
          <w:w w:val="110"/>
          <w:sz w:val="20"/>
          <w:szCs w:val="20"/>
        </w:rPr>
        <w:t>6.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10"/>
          <w:sz w:val="20"/>
          <w:szCs w:val="20"/>
        </w:rPr>
        <w:t>Financial assistance</w:t>
      </w:r>
    </w:p>
    <w:p w:rsidR="00A76502" w:rsidRDefault="00F26290">
      <w:pPr>
        <w:tabs>
          <w:tab w:val="left" w:pos="7137"/>
        </w:tabs>
        <w:spacing w:before="173" w:after="0" w:line="313" w:lineRule="exact"/>
        <w:ind w:left="2001" w:right="1017" w:firstLine="4"/>
        <w:jc w:val="both"/>
      </w:pPr>
      <w:r w:rsidRPr="00C10B77">
        <w:rPr>
          <w:rFonts w:ascii="Times New Roman" w:hAnsi="Times New Roman" w:cs="Times New Roman"/>
          <w:color w:val="000000"/>
          <w:w w:val="121"/>
          <w:sz w:val="20"/>
          <w:szCs w:val="20"/>
          <w:highlight w:val="green"/>
        </w:rPr>
        <w:t xml:space="preserve">In line with the AA and Government priorities, the 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green"/>
        </w:rPr>
        <w:tab/>
      </w: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green"/>
        </w:rPr>
        <w:t xml:space="preserve">2017-2020 single support framework </w:t>
      </w: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green"/>
        </w:rPr>
        <w:t xml:space="preserve">focuses on four main areas: economic development and market opportunities; strengthening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 xml:space="preserve">institutions and good governance; connectivity, energy, environment and climate change; and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green"/>
        </w:rPr>
        <w:t>mobility and 'people to people' contacts.</w:t>
      </w:r>
    </w:p>
    <w:p w:rsidR="00A76502" w:rsidRDefault="00F26290">
      <w:pPr>
        <w:tabs>
          <w:tab w:val="left" w:pos="7137"/>
        </w:tabs>
        <w:spacing w:before="190" w:after="0" w:line="310" w:lineRule="exact"/>
        <w:ind w:left="1996" w:right="1007" w:firstLine="14"/>
        <w:jc w:val="both"/>
      </w:pP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Implementation of the 2018 bilateral allocation (EUR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134 million, including EUR 40 million </w:t>
      </w: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from the 'umbrella' programme) has started. EU support will continue to focus on the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implementation of the AA, including Georgia's increased participation in Erasmus+ and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action on strategic communication.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green"/>
        </w:rPr>
        <w:t xml:space="preserve">A new economic governance and fiscal accountability </w:t>
      </w: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green"/>
        </w:rPr>
        <w:t xml:space="preserve">programme will bring the Georgian system closer to the EU model of economic governance, </w:t>
      </w:r>
      <w:r w:rsidRPr="00C10B77">
        <w:rPr>
          <w:rFonts w:ascii="Times New Roman" w:hAnsi="Times New Roman" w:cs="Times New Roman"/>
          <w:color w:val="000000"/>
          <w:w w:val="124"/>
          <w:sz w:val="20"/>
          <w:szCs w:val="20"/>
          <w:highlight w:val="green"/>
        </w:rPr>
        <w:t xml:space="preserve">while a holistic programme on secwity, accountability and the fight against crime will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>strengthen good governance, the rule of law and the security of Georgian citizens.</w:t>
      </w:r>
    </w:p>
    <w:p w:rsidR="00A76502" w:rsidRDefault="00F26290">
      <w:pPr>
        <w:tabs>
          <w:tab w:val="left" w:pos="6892"/>
          <w:tab w:val="left" w:pos="7545"/>
        </w:tabs>
        <w:spacing w:before="190" w:after="0" w:line="310" w:lineRule="exact"/>
        <w:ind w:left="2001" w:right="998"/>
        <w:jc w:val="both"/>
      </w:pP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Assistance  under  the  bilateral  allocation  for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10"/>
          <w:sz w:val="20"/>
          <w:szCs w:val="20"/>
        </w:rPr>
        <w:t xml:space="preserve">2019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(EUR 127  million,  including  a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EUR 25 million top-up from the 'umbrella' programme) will focus on the development and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implementation of a new human rights strategy, targeting in particular the rights of the child,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domestic violence and the inclusion of members of vulnerable groups/minorities. Through the fourth  phase  of the  European  neighbourhood  programme  for  agriculture  and  rural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115" w:lineRule="exact"/>
        <w:ind w:left="2020"/>
        <w:rPr>
          <w:sz w:val="24"/>
          <w:szCs w:val="24"/>
        </w:rPr>
      </w:pPr>
    </w:p>
    <w:p w:rsidR="00A76502" w:rsidRDefault="00A76502">
      <w:pPr>
        <w:spacing w:after="0" w:line="115" w:lineRule="exact"/>
        <w:ind w:left="2020"/>
        <w:rPr>
          <w:sz w:val="24"/>
          <w:szCs w:val="24"/>
        </w:rPr>
      </w:pPr>
    </w:p>
    <w:p w:rsidR="00A76502" w:rsidRDefault="00A76502">
      <w:pPr>
        <w:spacing w:after="0" w:line="115" w:lineRule="exact"/>
        <w:ind w:left="2020"/>
        <w:rPr>
          <w:sz w:val="24"/>
          <w:szCs w:val="24"/>
        </w:rPr>
      </w:pPr>
    </w:p>
    <w:p w:rsidR="00A76502" w:rsidRDefault="00A76502">
      <w:pPr>
        <w:spacing w:after="0" w:line="115" w:lineRule="exact"/>
        <w:ind w:left="2020"/>
        <w:rPr>
          <w:sz w:val="24"/>
          <w:szCs w:val="24"/>
        </w:rPr>
      </w:pPr>
    </w:p>
    <w:p w:rsidR="00A76502" w:rsidRDefault="00F26290">
      <w:pPr>
        <w:spacing w:before="87" w:after="0" w:line="115" w:lineRule="exact"/>
        <w:ind w:left="2020"/>
      </w:pPr>
      <w:r>
        <w:rPr>
          <w:rFonts w:ascii="Times New Roman" w:hAnsi="Times New Roman" w:cs="Times New Roman"/>
          <w:color w:val="000000"/>
          <w:spacing w:val="-2"/>
          <w:sz w:val="10"/>
          <w:szCs w:val="10"/>
        </w:rPr>
        <w:t>15</w:t>
      </w:r>
    </w:p>
    <w:p w:rsidR="00A76502" w:rsidRDefault="00F26290">
      <w:pPr>
        <w:spacing w:after="0" w:line="184" w:lineRule="exact"/>
        <w:ind w:left="228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76502" w:rsidRDefault="00A76502">
      <w:pPr>
        <w:spacing w:after="0" w:line="184" w:lineRule="exact"/>
        <w:ind w:left="2280"/>
        <w:rPr>
          <w:sz w:val="24"/>
          <w:szCs w:val="24"/>
        </w:rPr>
      </w:pPr>
    </w:p>
    <w:p w:rsidR="00A76502" w:rsidRDefault="00F26290">
      <w:pPr>
        <w:spacing w:before="122" w:after="0" w:line="184" w:lineRule="exact"/>
        <w:ind w:left="10"/>
      </w:pPr>
      <w:r>
        <w:rPr>
          <w:rFonts w:ascii="Times New Roman" w:hAnsi="Times New Roman" w:cs="Times New Roman"/>
          <w:color w:val="000000"/>
          <w:w w:val="104"/>
          <w:sz w:val="16"/>
          <w:szCs w:val="16"/>
        </w:rPr>
        <w:t>Directive</w:t>
      </w:r>
    </w:p>
    <w:p w:rsidR="00A76502" w:rsidRDefault="00F26290">
      <w:pPr>
        <w:spacing w:after="0" w:line="184" w:lineRule="exact"/>
        <w:ind w:left="228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76502" w:rsidRDefault="00A76502">
      <w:pPr>
        <w:spacing w:after="0" w:line="184" w:lineRule="exact"/>
        <w:ind w:left="2280"/>
        <w:rPr>
          <w:sz w:val="24"/>
          <w:szCs w:val="24"/>
        </w:rPr>
      </w:pPr>
    </w:p>
    <w:p w:rsidR="00A76502" w:rsidRDefault="00F26290">
      <w:pPr>
        <w:spacing w:before="122" w:after="0" w:line="184" w:lineRule="exact"/>
        <w:ind w:left="10"/>
      </w:pPr>
      <w:r>
        <w:rPr>
          <w:rFonts w:ascii="Times New Roman" w:hAnsi="Times New Roman" w:cs="Times New Roman"/>
          <w:color w:val="000000"/>
          <w:w w:val="112"/>
          <w:sz w:val="16"/>
          <w:szCs w:val="16"/>
        </w:rPr>
        <w:t>2014/53/EU of the European Parliament and of the Council of 16 April</w:t>
      </w:r>
    </w:p>
    <w:p w:rsidR="00A76502" w:rsidRDefault="00F26290">
      <w:pPr>
        <w:spacing w:after="0" w:line="184" w:lineRule="exact"/>
        <w:ind w:left="228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76502" w:rsidRDefault="00A76502">
      <w:pPr>
        <w:spacing w:after="0" w:line="184" w:lineRule="exact"/>
        <w:ind w:left="2280"/>
        <w:rPr>
          <w:sz w:val="24"/>
          <w:szCs w:val="24"/>
        </w:rPr>
      </w:pPr>
    </w:p>
    <w:p w:rsidR="00A76502" w:rsidRDefault="00F26290">
      <w:pPr>
        <w:spacing w:before="122" w:after="0" w:line="184" w:lineRule="exact"/>
        <w:ind w:left="10"/>
      </w:pPr>
      <w:r>
        <w:rPr>
          <w:rFonts w:ascii="Times New Roman" w:hAnsi="Times New Roman" w:cs="Times New Roman"/>
          <w:color w:val="000000"/>
          <w:w w:val="123"/>
          <w:sz w:val="16"/>
          <w:szCs w:val="16"/>
        </w:rPr>
        <w:t>2014 on the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type w:val="continuous"/>
          <w:pgSz w:w="11900" w:h="15500"/>
          <w:pgMar w:top="-20" w:right="0" w:bottom="-20" w:left="0" w:header="0" w:footer="0" w:gutter="0"/>
          <w:cols w:num="4" w:space="720" w:equalWidth="0">
            <w:col w:w="2164" w:space="110"/>
            <w:col w:w="752" w:space="40"/>
            <w:col w:w="5855" w:space="40"/>
            <w:col w:w="2779" w:space="160"/>
          </w:cols>
        </w:sectPr>
      </w:pPr>
    </w:p>
    <w:p w:rsidR="00A76502" w:rsidRDefault="00F26290">
      <w:pPr>
        <w:spacing w:after="0" w:line="240" w:lineRule="exact"/>
        <w:ind w:left="2280" w:right="1822" w:firstLine="4"/>
        <w:jc w:val="both"/>
      </w:pPr>
      <w:r>
        <w:rPr>
          <w:rFonts w:ascii="Times New Roman" w:hAnsi="Times New Roman" w:cs="Times New Roman"/>
          <w:color w:val="000000"/>
          <w:w w:val="121"/>
          <w:sz w:val="16"/>
          <w:szCs w:val="16"/>
        </w:rPr>
        <w:t>harmonisation of the laws of the Member States relating to the making available on the market of radio equipment and repealing Directive 1999/5/EC (0J L 153, 22.5.2014, p. 62).</w:t>
      </w:r>
    </w:p>
    <w:p w:rsidR="00A76502" w:rsidRDefault="00F26290">
      <w:pPr>
        <w:framePr w:w="296" w:wrap="auto" w:vAnchor="page" w:hAnchor="page" w:x="10550" w:y="15319"/>
        <w:spacing w:after="0" w:line="180" w:lineRule="atLeast"/>
      </w:pPr>
      <w:r>
        <w:rPr>
          <w:rFonts w:ascii="Times New Roman" w:hAnsi="Times New Roman" w:cs="Times New Roman"/>
          <w:b/>
          <w:color w:val="000000"/>
          <w:spacing w:val="2"/>
          <w:sz w:val="18"/>
          <w:szCs w:val="18"/>
        </w:rPr>
        <w:t>16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type w:val="continuous"/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06" w:lineRule="exact"/>
        <w:ind w:left="1641"/>
        <w:rPr>
          <w:sz w:val="24"/>
          <w:szCs w:val="24"/>
        </w:rPr>
      </w:pPr>
    </w:p>
    <w:p w:rsidR="00A76502" w:rsidRDefault="00A76502">
      <w:pPr>
        <w:spacing w:after="0" w:line="306" w:lineRule="exact"/>
        <w:ind w:left="1641"/>
        <w:rPr>
          <w:sz w:val="24"/>
          <w:szCs w:val="24"/>
        </w:rPr>
      </w:pPr>
    </w:p>
    <w:p w:rsidR="00A76502" w:rsidRDefault="00A76502">
      <w:pPr>
        <w:spacing w:after="0" w:line="306" w:lineRule="exact"/>
        <w:ind w:left="1641"/>
        <w:rPr>
          <w:sz w:val="24"/>
          <w:szCs w:val="24"/>
        </w:rPr>
      </w:pPr>
    </w:p>
    <w:p w:rsidR="00A76502" w:rsidRPr="00C10B77" w:rsidRDefault="00F26290">
      <w:pPr>
        <w:spacing w:before="210" w:after="0" w:line="306" w:lineRule="exact"/>
        <w:ind w:left="1641" w:right="1391"/>
        <w:jc w:val="both"/>
        <w:rPr>
          <w:highlight w:val="green"/>
        </w:rPr>
      </w:pPr>
      <w:r w:rsidRPr="00C10B77">
        <w:rPr>
          <w:rFonts w:ascii="Times New Roman" w:hAnsi="Times New Roman" w:cs="Times New Roman"/>
          <w:color w:val="000000"/>
          <w:w w:val="116"/>
          <w:sz w:val="20"/>
          <w:szCs w:val="20"/>
          <w:highlight w:val="green"/>
        </w:rPr>
        <w:t xml:space="preserve">development (ENPARD), the EU will support the implementation of food safety regulations (partly to facilitate an increase in exports to the EU) and further promote rural development. </w:t>
      </w:r>
      <w:r w:rsidRPr="00C10B77">
        <w:rPr>
          <w:rFonts w:ascii="Times New Roman" w:hAnsi="Times New Roman" w:cs="Times New Roman"/>
          <w:color w:val="000000"/>
          <w:w w:val="119"/>
          <w:sz w:val="20"/>
          <w:szCs w:val="20"/>
          <w:highlight w:val="green"/>
        </w:rPr>
        <w:t xml:space="preserve">Lastly, the EU4IntegratedTerritorialDevelopment initiative will encourage more balanced </w:t>
      </w:r>
      <w:r w:rsidRPr="00C10B77">
        <w:rPr>
          <w:rFonts w:ascii="Times New Roman" w:hAnsi="Times New Roman" w:cs="Times New Roman"/>
          <w:color w:val="000000"/>
          <w:w w:val="113"/>
          <w:sz w:val="20"/>
          <w:szCs w:val="20"/>
          <w:highlight w:val="green"/>
        </w:rPr>
        <w:t>territorial development establishing new centres of gravity in the regions of Georgia.</w:t>
      </w:r>
    </w:p>
    <w:p w:rsidR="00A76502" w:rsidRPr="00C10B77" w:rsidRDefault="00F26290">
      <w:pPr>
        <w:spacing w:before="174" w:after="0" w:line="306" w:lineRule="exact"/>
        <w:ind w:left="1641" w:right="1396"/>
        <w:jc w:val="both"/>
        <w:rPr>
          <w:highlight w:val="green"/>
        </w:rPr>
      </w:pPr>
      <w:r w:rsidRPr="00C10B77">
        <w:rPr>
          <w:rFonts w:ascii="Times New Roman" w:hAnsi="Times New Roman" w:cs="Times New Roman"/>
          <w:color w:val="000000"/>
          <w:w w:val="117"/>
          <w:sz w:val="20"/>
          <w:szCs w:val="20"/>
          <w:highlight w:val="green"/>
        </w:rPr>
        <w:t xml:space="preserve">Ongoing bilateral programmes are supporting inclusive economic development, justice and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 xml:space="preserve">public administration reform, VET and skills matching, policy reform in agriculture and rural </w:t>
      </w: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green"/>
        </w:rPr>
        <w:t xml:space="preserve">development, regional  development and transport,  energy efficiency and infrastructure </w:t>
      </w:r>
      <w:r w:rsidRPr="00C10B77">
        <w:rPr>
          <w:rFonts w:ascii="Times New Roman" w:hAnsi="Times New Roman" w:cs="Times New Roman"/>
          <w:color w:val="000000"/>
          <w:w w:val="111"/>
          <w:sz w:val="20"/>
          <w:szCs w:val="20"/>
          <w:highlight w:val="green"/>
        </w:rPr>
        <w:t>development.</w:t>
      </w:r>
    </w:p>
    <w:p w:rsidR="00A76502" w:rsidRPr="00C10B77" w:rsidRDefault="00A76502">
      <w:pPr>
        <w:spacing w:after="0" w:line="230" w:lineRule="exact"/>
        <w:ind w:left="1641"/>
        <w:rPr>
          <w:sz w:val="24"/>
          <w:szCs w:val="24"/>
          <w:highlight w:val="green"/>
        </w:rPr>
      </w:pPr>
    </w:p>
    <w:p w:rsidR="00A76502" w:rsidRPr="00C10B77" w:rsidRDefault="00F26290">
      <w:pPr>
        <w:spacing w:before="47" w:after="0" w:line="230" w:lineRule="exact"/>
        <w:ind w:left="1641"/>
        <w:rPr>
          <w:highlight w:val="green"/>
        </w:rPr>
      </w:pPr>
      <w:r w:rsidRPr="00C10B77">
        <w:rPr>
          <w:rFonts w:ascii="Times New Roman" w:hAnsi="Times New Roman" w:cs="Times New Roman"/>
          <w:color w:val="000000"/>
          <w:w w:val="122"/>
          <w:sz w:val="20"/>
          <w:szCs w:val="20"/>
          <w:highlight w:val="green"/>
        </w:rPr>
        <w:t>Georgia  also  continues  to  benefit  from  regional  programmes  in  the  framework  of</w:t>
      </w:r>
    </w:p>
    <w:p w:rsidR="00A76502" w:rsidRPr="00C10B77" w:rsidRDefault="00F26290">
      <w:pPr>
        <w:tabs>
          <w:tab w:val="left" w:pos="3235"/>
          <w:tab w:val="left" w:pos="4675"/>
          <w:tab w:val="left" w:pos="6652"/>
          <w:tab w:val="left" w:pos="8875"/>
        </w:tabs>
        <w:spacing w:before="85" w:after="0" w:line="230" w:lineRule="exact"/>
        <w:ind w:left="1651"/>
        <w:rPr>
          <w:highlight w:val="green"/>
        </w:rPr>
      </w:pP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green"/>
        </w:rPr>
        <w:t>EU4Business,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green"/>
        </w:rPr>
        <w:tab/>
      </w: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green"/>
        </w:rPr>
        <w:t>EU4Energy,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green"/>
        </w:rPr>
        <w:tab/>
      </w: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green"/>
        </w:rPr>
        <w:t>EU4Environment,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green"/>
        </w:rPr>
        <w:tab/>
      </w: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green"/>
        </w:rPr>
        <w:t>EU4ClimateChange,</w:t>
      </w:r>
      <w:r w:rsidRPr="00C10B77">
        <w:rPr>
          <w:rFonts w:ascii="Times New Roman" w:hAnsi="Times New Roman" w:cs="Times New Roman"/>
          <w:color w:val="000000"/>
          <w:sz w:val="20"/>
          <w:szCs w:val="20"/>
          <w:highlight w:val="green"/>
        </w:rPr>
        <w:tab/>
      </w:r>
      <w:r w:rsidRPr="00C10B77">
        <w:rPr>
          <w:rFonts w:ascii="Times New Roman" w:hAnsi="Times New Roman" w:cs="Times New Roman"/>
          <w:color w:val="000000"/>
          <w:w w:val="110"/>
          <w:sz w:val="20"/>
          <w:szCs w:val="20"/>
          <w:highlight w:val="green"/>
        </w:rPr>
        <w:t>EU41nnovation,</w:t>
      </w:r>
    </w:p>
    <w:p w:rsidR="00A76502" w:rsidRDefault="00F26290">
      <w:pPr>
        <w:spacing w:after="0" w:line="320" w:lineRule="exact"/>
        <w:ind w:left="1641" w:right="1391" w:firstLine="9"/>
        <w:jc w:val="both"/>
      </w:pPr>
      <w:r w:rsidRPr="00C10B77">
        <w:rPr>
          <w:rFonts w:ascii="Times New Roman" w:hAnsi="Times New Roman" w:cs="Times New Roman"/>
          <w:color w:val="000000"/>
          <w:w w:val="118"/>
          <w:sz w:val="20"/>
          <w:szCs w:val="20"/>
          <w:highlight w:val="green"/>
        </w:rPr>
        <w:t xml:space="preserve">EU4Youth and EU4Digital and in the areas of culture and transport. It is also participating </w:t>
      </w:r>
      <w:r w:rsidRPr="00C10B77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>actively in the neighbourhood cross-border cooperation Black Sea programme.</w:t>
      </w:r>
    </w:p>
    <w:p w:rsidR="00A76502" w:rsidRDefault="00F26290">
      <w:pPr>
        <w:spacing w:before="170" w:after="0" w:line="310" w:lineRule="exact"/>
        <w:ind w:left="1641" w:right="1391"/>
        <w:jc w:val="both"/>
      </w:pPr>
      <w:r w:rsidRPr="00F26290">
        <w:rPr>
          <w:rFonts w:ascii="Times New Roman" w:hAnsi="Times New Roman" w:cs="Times New Roman"/>
          <w:color w:val="000000"/>
          <w:w w:val="117"/>
          <w:sz w:val="20"/>
          <w:szCs w:val="20"/>
          <w:highlight w:val="green"/>
        </w:rPr>
        <w:t xml:space="preserve">The EU has continued to help finance large infrastructure projects and initiatives in various </w:t>
      </w:r>
      <w:r w:rsidRPr="00F26290">
        <w:rPr>
          <w:rFonts w:ascii="Times New Roman" w:hAnsi="Times New Roman" w:cs="Times New Roman"/>
          <w:color w:val="000000"/>
          <w:w w:val="115"/>
          <w:sz w:val="20"/>
          <w:szCs w:val="20"/>
          <w:highlight w:val="green"/>
        </w:rPr>
        <w:t xml:space="preserve">economic and social sectors in the framework of the Neighbourhood Investment Platform. In </w:t>
      </w:r>
      <w:r w:rsidRPr="00F26290">
        <w:rPr>
          <w:rFonts w:ascii="Times New Roman" w:hAnsi="Times New Roman" w:cs="Times New Roman"/>
          <w:color w:val="000000"/>
          <w:w w:val="121"/>
          <w:sz w:val="20"/>
          <w:szCs w:val="20"/>
          <w:highlight w:val="green"/>
        </w:rPr>
        <w:t xml:space="preserve">this regard, blending operations are supporting energy efficiency in public buildings and </w:t>
      </w:r>
      <w:r w:rsidRPr="00F26290">
        <w:rPr>
          <w:rFonts w:ascii="Times New Roman" w:hAnsi="Times New Roman" w:cs="Times New Roman"/>
          <w:color w:val="000000"/>
          <w:w w:val="120"/>
          <w:sz w:val="20"/>
          <w:szCs w:val="20"/>
          <w:highlight w:val="green"/>
        </w:rPr>
        <w:t xml:space="preserve">projects on hydropower plant rehabilitation, road transport along the TEN-T, solid waste, </w:t>
      </w:r>
      <w:r w:rsidRPr="00F26290">
        <w:rPr>
          <w:rFonts w:ascii="Times New Roman" w:hAnsi="Times New Roman" w:cs="Times New Roman"/>
          <w:color w:val="000000"/>
          <w:w w:val="112"/>
          <w:sz w:val="20"/>
          <w:szCs w:val="20"/>
          <w:highlight w:val="green"/>
        </w:rPr>
        <w:t>water and sanitation, and local currency-lending.</w:t>
      </w:r>
    </w:p>
    <w:p w:rsidR="00A76502" w:rsidRPr="00F26290" w:rsidRDefault="00F26290">
      <w:pPr>
        <w:spacing w:before="192" w:after="0" w:line="308" w:lineRule="exact"/>
        <w:ind w:left="1651" w:right="1353"/>
        <w:jc w:val="both"/>
        <w:rPr>
          <w:highlight w:val="green"/>
        </w:rPr>
      </w:pPr>
      <w:r w:rsidRPr="00F26290">
        <w:rPr>
          <w:rFonts w:ascii="Times New Roman" w:hAnsi="Times New Roman" w:cs="Times New Roman"/>
          <w:color w:val="000000"/>
          <w:w w:val="115"/>
          <w:sz w:val="20"/>
          <w:szCs w:val="20"/>
          <w:highlight w:val="green"/>
        </w:rPr>
        <w:t xml:space="preserve">Georgia also benefits from EU macro-financial assistance (MFA). The latest MFA operation </w:t>
      </w:r>
      <w:r w:rsidRPr="00F26290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 xml:space="preserve">was approved by the European Parliament and the Council in April 2018. The first instalment </w:t>
      </w:r>
      <w:r w:rsidRPr="00F26290">
        <w:rPr>
          <w:rFonts w:ascii="Times New Roman" w:hAnsi="Times New Roman" w:cs="Times New Roman"/>
          <w:color w:val="000000"/>
          <w:w w:val="117"/>
          <w:sz w:val="20"/>
          <w:szCs w:val="20"/>
          <w:highlight w:val="green"/>
        </w:rPr>
        <w:t xml:space="preserve">of EUR 20 million (EUR 5 million in grants and EUR 15 million in loans) was disbursed in </w:t>
      </w:r>
      <w:r w:rsidRPr="00F26290">
        <w:rPr>
          <w:rFonts w:ascii="Times New Roman" w:hAnsi="Times New Roman" w:cs="Times New Roman"/>
          <w:color w:val="000000"/>
          <w:w w:val="116"/>
          <w:sz w:val="20"/>
          <w:szCs w:val="20"/>
          <w:highlight w:val="green"/>
        </w:rPr>
        <w:t xml:space="preserve">December 2018. Further disbursement (last instalment of EUR 25 million) is conditional on </w:t>
      </w:r>
      <w:r w:rsidRPr="00F26290">
        <w:rPr>
          <w:rFonts w:ascii="Times New Roman" w:hAnsi="Times New Roman" w:cs="Times New Roman"/>
          <w:color w:val="000000"/>
          <w:w w:val="115"/>
          <w:sz w:val="20"/>
          <w:szCs w:val="20"/>
          <w:highlight w:val="green"/>
        </w:rPr>
        <w:t xml:space="preserve">Georgia continuing to meet the political conditions (respect for democratic mechanisms, rule </w:t>
      </w:r>
      <w:r w:rsidRPr="00F26290">
        <w:rPr>
          <w:rFonts w:ascii="Times New Roman" w:hAnsi="Times New Roman" w:cs="Times New Roman"/>
          <w:color w:val="000000"/>
          <w:w w:val="116"/>
          <w:sz w:val="20"/>
          <w:szCs w:val="20"/>
          <w:highlight w:val="green"/>
        </w:rPr>
        <w:t xml:space="preserve">of law and human rights); maintaining a good track-record in implementing the current IMF programme (an arrangement under the Extended Fund Facility of USD 285 million, recently extended to April 2021); and satisfying the specific policy conditions in the memorandum of </w:t>
      </w:r>
      <w:r w:rsidRPr="00F26290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 xml:space="preserve">understanding, which support the national reform agenda and the EU association process, and </w:t>
      </w:r>
      <w:r w:rsidRPr="00F26290">
        <w:rPr>
          <w:rFonts w:ascii="Times New Roman" w:hAnsi="Times New Roman" w:cs="Times New Roman"/>
          <w:color w:val="000000"/>
          <w:w w:val="116"/>
          <w:sz w:val="20"/>
          <w:szCs w:val="20"/>
          <w:highlight w:val="green"/>
        </w:rPr>
        <w:t xml:space="preserve">apply to public finance management; the financial sector; social and labour market policies; </w:t>
      </w:r>
      <w:r w:rsidRPr="00F26290">
        <w:rPr>
          <w:rFonts w:ascii="Times New Roman" w:hAnsi="Times New Roman" w:cs="Times New Roman"/>
          <w:color w:val="000000"/>
          <w:w w:val="112"/>
          <w:sz w:val="20"/>
          <w:szCs w:val="20"/>
          <w:highlight w:val="green"/>
        </w:rPr>
        <w:t>and the business environment.</w:t>
      </w:r>
    </w:p>
    <w:p w:rsidR="00A76502" w:rsidRDefault="00F26290">
      <w:pPr>
        <w:spacing w:before="219" w:after="0" w:line="300" w:lineRule="exact"/>
        <w:ind w:left="1651" w:right="1381"/>
        <w:jc w:val="both"/>
      </w:pPr>
      <w:r w:rsidRPr="00F26290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 xml:space="preserve">The Georgian authorities and the European Anti-Fraud Office have stepped up cooperation in </w:t>
      </w:r>
      <w:r w:rsidRPr="00F26290">
        <w:rPr>
          <w:rFonts w:ascii="Times New Roman" w:hAnsi="Times New Roman" w:cs="Times New Roman"/>
          <w:color w:val="000000"/>
          <w:w w:val="113"/>
          <w:sz w:val="20"/>
          <w:szCs w:val="20"/>
          <w:highlight w:val="green"/>
        </w:rPr>
        <w:t>the fight against fraud affecting the EU's financial interests.</w:t>
      </w:r>
    </w:p>
    <w:p w:rsidR="00A76502" w:rsidRDefault="00A76502">
      <w:pPr>
        <w:spacing w:after="0" w:line="230" w:lineRule="exact"/>
        <w:ind w:left="1656"/>
        <w:rPr>
          <w:sz w:val="24"/>
          <w:szCs w:val="24"/>
        </w:rPr>
      </w:pPr>
    </w:p>
    <w:p w:rsidR="00A76502" w:rsidRDefault="00F26290">
      <w:pPr>
        <w:tabs>
          <w:tab w:val="left" w:pos="2347"/>
        </w:tabs>
        <w:spacing w:before="40" w:after="0" w:line="230" w:lineRule="exact"/>
        <w:ind w:left="1656"/>
      </w:pP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7.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12"/>
          <w:sz w:val="20"/>
          <w:szCs w:val="20"/>
        </w:rPr>
        <w:t>Concluding remarks and future-outlkok</w:t>
      </w:r>
    </w:p>
    <w:p w:rsidR="00A76502" w:rsidRDefault="00F26290">
      <w:pPr>
        <w:spacing w:before="192" w:after="0" w:line="310" w:lineRule="exact"/>
        <w:ind w:left="1656" w:right="1376"/>
        <w:jc w:val="both"/>
      </w:pP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Over the  reporting  period,  Georgia  has  remained  committed to  the  implementation, 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obligations and undertakings of the Association Agreement. Alignment to the EU acquis as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well as to European standards in the area of human rights has effectively continued.</w:t>
      </w:r>
    </w:p>
    <w:p w:rsidR="00A76502" w:rsidRDefault="00F26290">
      <w:pPr>
        <w:spacing w:before="188" w:after="0" w:line="313" w:lineRule="exact"/>
        <w:ind w:left="1656" w:right="1376"/>
        <w:jc w:val="both"/>
      </w:pPr>
      <w:r>
        <w:rPr>
          <w:rFonts w:ascii="Times New Roman" w:hAnsi="Times New Roman" w:cs="Times New Roman"/>
          <w:color w:val="000000"/>
          <w:w w:val="125"/>
          <w:sz w:val="20"/>
          <w:szCs w:val="20"/>
        </w:rPr>
        <w:t xml:space="preserve">2020  will  be an  important  year for  Georgia to continue to demonstrate  its  reform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commitment, which will be crucial for further advancing on its European path. It will be key to take forward ambitious election reforms, to tackle the increasing political polarisation and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to pursue judicial reform.</w:t>
      </w:r>
    </w:p>
    <w:p w:rsidR="00A76502" w:rsidRDefault="00F26290">
      <w:pPr>
        <w:framePr w:w="296" w:wrap="auto" w:vAnchor="page" w:hAnchor="page" w:x="10175" w:y="15180"/>
        <w:spacing w:after="0" w:line="180" w:lineRule="atLeast"/>
      </w:pPr>
      <w:r>
        <w:rPr>
          <w:rFonts w:ascii="Times New Roman" w:hAnsi="Times New Roman" w:cs="Times New Roman"/>
          <w:color w:val="000000"/>
          <w:w w:val="106"/>
          <w:sz w:val="18"/>
          <w:szCs w:val="18"/>
        </w:rPr>
        <w:t>17</w:t>
      </w:r>
    </w:p>
    <w:p w:rsidR="00A76502" w:rsidRDefault="00A76502">
      <w:pPr>
        <w:spacing w:after="0" w:line="240" w:lineRule="exact"/>
        <w:rPr>
          <w:sz w:val="12"/>
          <w:szCs w:val="12"/>
        </w:rPr>
        <w:sectPr w:rsidR="00A76502">
          <w:pgSz w:w="11900" w:h="15500"/>
          <w:pgMar w:top="-20" w:right="0" w:bottom="-20" w:left="0" w:header="0" w:footer="0" w:gutter="0"/>
          <w:cols w:space="720"/>
        </w:sectPr>
      </w:pPr>
    </w:p>
    <w:p w:rsidR="00A76502" w:rsidRDefault="00A76502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A76502" w:rsidRDefault="00A76502">
      <w:pPr>
        <w:spacing w:after="0" w:line="310" w:lineRule="exact"/>
        <w:ind w:left="2083"/>
        <w:rPr>
          <w:sz w:val="24"/>
          <w:szCs w:val="24"/>
        </w:rPr>
      </w:pPr>
    </w:p>
    <w:p w:rsidR="00A76502" w:rsidRDefault="00A76502">
      <w:pPr>
        <w:spacing w:after="0" w:line="310" w:lineRule="exact"/>
        <w:ind w:left="2083"/>
        <w:rPr>
          <w:sz w:val="24"/>
          <w:szCs w:val="24"/>
        </w:rPr>
      </w:pPr>
    </w:p>
    <w:p w:rsidR="00A76502" w:rsidRDefault="00A76502">
      <w:pPr>
        <w:spacing w:after="0" w:line="310" w:lineRule="exact"/>
        <w:ind w:left="2083"/>
        <w:rPr>
          <w:sz w:val="24"/>
          <w:szCs w:val="24"/>
        </w:rPr>
      </w:pPr>
    </w:p>
    <w:p w:rsidR="00A76502" w:rsidRDefault="00F26290">
      <w:pPr>
        <w:tabs>
          <w:tab w:val="left" w:pos="8500"/>
        </w:tabs>
        <w:spacing w:before="254" w:after="0" w:line="310" w:lineRule="exact"/>
        <w:ind w:left="2083" w:right="945" w:firstLine="4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Looking ahead, the parliamentary elections foreseen for autumn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2020 will be pivotal in confirming   Georgia's   democratic   credentials.   Responding   to   all   OSCE/ODIHR </w:t>
      </w: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recommendations made in the aftermath of the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2018 presidential elections should be the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objective of the current electoral reform. At the same time, it will be crucial to find a solution </w:t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 xml:space="preserve">with regard to the set-up of the election system acceptable to all parties. Furthermore, an 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 xml:space="preserve">enabling environment for free and pluralistic media will be another key factor in the run-up to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the elections.</w:t>
      </w:r>
    </w:p>
    <w:p w:rsidR="00A76502" w:rsidRDefault="00F26290">
      <w:pPr>
        <w:spacing w:before="192" w:after="0" w:line="308" w:lineRule="exact"/>
        <w:ind w:left="2073" w:right="945" w:firstLine="9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As regards judicial reform, implementation of the fourth wave of reforms will be important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throughout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2020. Georgia's commitment to uphold the highest standards of ethics and 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integrity in its judiciary remains critical. Going forward, it is essential that the selection </w:t>
      </w: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 xml:space="preserve">procedure for Supreme Court Judges adheres to all recommendations made by the Venice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>Commission and be carried out in a transparent manner and in line with a genuinely merit-</w:t>
      </w:r>
      <w:r>
        <w:br/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based nomination process.</w:t>
      </w:r>
    </w:p>
    <w:p w:rsidR="00A76502" w:rsidRDefault="00F26290">
      <w:pPr>
        <w:spacing w:before="219" w:after="0" w:line="300" w:lineRule="exact"/>
        <w:ind w:left="2083" w:right="949"/>
        <w:jc w:val="both"/>
      </w:pP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As regards the visa-free regime, it will be important for Georgia to continue to pro-actively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address the  continued  increase of asylum  applications  in close cooperation  with the 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>Commission and EU Member States.</w:t>
      </w:r>
    </w:p>
    <w:p w:rsidR="00A76502" w:rsidRDefault="00F26290">
      <w:pPr>
        <w:spacing w:before="216" w:after="0" w:line="306" w:lineRule="exact"/>
        <w:ind w:left="2083" w:right="944"/>
        <w:jc w:val="both"/>
      </w:pPr>
      <w:r w:rsidRPr="00F26290">
        <w:rPr>
          <w:rFonts w:ascii="Times New Roman" w:hAnsi="Times New Roman" w:cs="Times New Roman"/>
          <w:color w:val="000000"/>
          <w:w w:val="124"/>
          <w:sz w:val="20"/>
          <w:szCs w:val="20"/>
          <w:highlight w:val="green"/>
        </w:rPr>
        <w:t xml:space="preserve">Finally, structural reforms are required to make Georgia's economy less vulnerable to external developments and to enhance the investment climate and trade potential. The </w:t>
      </w:r>
      <w:r w:rsidRPr="00F26290">
        <w:rPr>
          <w:rFonts w:ascii="Times New Roman" w:hAnsi="Times New Roman" w:cs="Times New Roman"/>
          <w:color w:val="000000"/>
          <w:w w:val="115"/>
          <w:sz w:val="20"/>
          <w:szCs w:val="20"/>
          <w:highlight w:val="green"/>
        </w:rPr>
        <w:t xml:space="preserve">adoption of energy efficiency laws, in particular given the growing urgency for action on the </w:t>
      </w:r>
      <w:r w:rsidRPr="00F26290">
        <w:rPr>
          <w:rFonts w:ascii="Times New Roman" w:hAnsi="Times New Roman" w:cs="Times New Roman"/>
          <w:color w:val="000000"/>
          <w:w w:val="114"/>
          <w:sz w:val="20"/>
          <w:szCs w:val="20"/>
          <w:highlight w:val="green"/>
        </w:rPr>
        <w:t>climate, will equally be essential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.</w:t>
      </w:r>
    </w:p>
    <w:p w:rsidR="00A76502" w:rsidRDefault="00F26290">
      <w:pPr>
        <w:framePr w:w="296" w:wrap="auto" w:vAnchor="page" w:hAnchor="page" w:x="10593" w:y="15266"/>
        <w:spacing w:after="0" w:line="180" w:lineRule="atLeast"/>
      </w:pPr>
      <w:r>
        <w:rPr>
          <w:rFonts w:ascii="Times New Roman" w:hAnsi="Times New Roman" w:cs="Times New Roman"/>
          <w:color w:val="000000"/>
          <w:w w:val="106"/>
          <w:sz w:val="18"/>
          <w:szCs w:val="18"/>
        </w:rPr>
        <w:t>18</w:t>
      </w:r>
    </w:p>
    <w:sectPr w:rsidR="00A76502">
      <w:pgSz w:w="11900" w:h="1550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embedSystemFonts/>
  <w:bordersDoNotSurroundHeader/>
  <w:bordersDoNotSurroundFooter/>
  <w:defaultTabStop w:val="8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7E0C90"/>
    <w:rsid w:val="008202E3"/>
    <w:rsid w:val="00830553"/>
    <w:rsid w:val="00A76502"/>
    <w:rsid w:val="00BD00CF"/>
    <w:rsid w:val="00C10B77"/>
    <w:rsid w:val="00F2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CFEE994-20F6-42C7-BDA0-A5841B6C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-community.org/implementation/ir2019.htmi/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idfi.ge/en/georgian_civil_society_organization_addresstothe_international_community/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cteostat.gelenimodules/categories/391wages/" TargetMode="External" /><Relationship Id="rId5" Type="http://schemas.openxmlformats.org/officeDocument/2006/relationships/hyperlink" Target="http://www3.weforum.org/docs/wef_gggr_20/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i+/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8125</Words>
  <Characters>47661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Danelia</dc:creator>
  <cp:keywords/>
  <dc:description/>
  <cp:lastModifiedBy>Guest User</cp:lastModifiedBy>
  <cp:revision>2</cp:revision>
  <dcterms:created xsi:type="dcterms:W3CDTF">2020-02-07T08:50:00Z</dcterms:created>
  <dcterms:modified xsi:type="dcterms:W3CDTF">2020-02-07T08:50:00Z</dcterms:modified>
</cp:coreProperties>
</file>